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39" w:type="pct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6F2C86" w:rsidRPr="006F2C86" w14:paraId="116AA5CA" w14:textId="77777777" w:rsidTr="00E833B9">
        <w:trPr>
          <w:trHeight w:hRule="exact" w:val="1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F8E1" w14:textId="77777777" w:rsidR="00E833B9" w:rsidRPr="00911049" w:rsidRDefault="00E833B9" w:rsidP="00EA7DD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36"/>
                <w:szCs w:val="36"/>
              </w:rPr>
            </w:pPr>
            <w:r w:rsidRPr="00911049">
              <w:rPr>
                <w:rFonts w:ascii="Garamond" w:eastAsia="Calibri" w:hAnsi="Garamond" w:cs="Times New Roman"/>
                <w:b/>
                <w:sz w:val="36"/>
                <w:szCs w:val="36"/>
              </w:rPr>
              <w:t xml:space="preserve">ÁLTALÁNOS SZERZŐDÉSI FELTÉTELEK </w:t>
            </w:r>
          </w:p>
          <w:p w14:paraId="28C7BB56" w14:textId="77777777" w:rsidR="00E833B9" w:rsidRPr="006F2C86" w:rsidRDefault="006F2C86" w:rsidP="00E833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911049">
              <w:rPr>
                <w:rFonts w:ascii="Garamond" w:eastAsia="Calibri" w:hAnsi="Garamond" w:cs="Times New Roman"/>
                <w:b/>
                <w:sz w:val="36"/>
                <w:szCs w:val="36"/>
              </w:rPr>
              <w:t>székhelyszolgáltatásról</w:t>
            </w:r>
          </w:p>
        </w:tc>
      </w:tr>
      <w:tr w:rsidR="00AA18FD" w:rsidRPr="006F2C86" w14:paraId="233690D0" w14:textId="77777777" w:rsidTr="008C051C">
        <w:trPr>
          <w:trHeight w:val="36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66FE2A" w14:textId="77777777" w:rsidR="00E833B9" w:rsidRDefault="00E833B9" w:rsidP="00E833B9">
            <w:pPr>
              <w:spacing w:after="0" w:line="240" w:lineRule="auto"/>
              <w:ind w:left="357"/>
              <w:jc w:val="both"/>
              <w:rPr>
                <w:rFonts w:ascii="Calibri" w:eastAsia="Calibri" w:hAnsi="Calibri" w:cs="Times New Roman"/>
              </w:rPr>
            </w:pPr>
          </w:p>
          <w:p w14:paraId="61316B8B" w14:textId="77777777" w:rsidR="00E833B9" w:rsidRPr="00911049" w:rsidRDefault="00E833B9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11049">
              <w:rPr>
                <w:rFonts w:ascii="Garamond" w:hAnsi="Garamond"/>
              </w:rPr>
              <w:t xml:space="preserve">Jelen </w:t>
            </w:r>
            <w:r w:rsidR="00971619" w:rsidRPr="00911049">
              <w:rPr>
                <w:rFonts w:ascii="Garamond" w:hAnsi="Garamond"/>
              </w:rPr>
              <w:t>Á</w:t>
            </w:r>
            <w:r w:rsidRPr="00911049">
              <w:rPr>
                <w:rFonts w:ascii="Garamond" w:hAnsi="Garamond"/>
              </w:rPr>
              <w:t xml:space="preserve">ltalános </w:t>
            </w:r>
            <w:r w:rsidR="00971619" w:rsidRPr="00911049">
              <w:rPr>
                <w:rFonts w:ascii="Garamond" w:hAnsi="Garamond"/>
              </w:rPr>
              <w:t>S</w:t>
            </w:r>
            <w:r w:rsidRPr="00911049">
              <w:rPr>
                <w:rFonts w:ascii="Garamond" w:hAnsi="Garamond"/>
              </w:rPr>
              <w:t xml:space="preserve">zerződési </w:t>
            </w:r>
            <w:r w:rsidR="00971619" w:rsidRPr="00911049">
              <w:rPr>
                <w:rFonts w:ascii="Garamond" w:hAnsi="Garamond"/>
              </w:rPr>
              <w:t>F</w:t>
            </w:r>
            <w:r w:rsidRPr="00911049">
              <w:rPr>
                <w:rFonts w:ascii="Garamond" w:hAnsi="Garamond"/>
              </w:rPr>
              <w:t xml:space="preserve">eltételek szabályozzák a </w:t>
            </w:r>
            <w:r w:rsidRPr="00911049">
              <w:rPr>
                <w:rFonts w:ascii="Garamond" w:hAnsi="Garamond"/>
                <w:b/>
              </w:rPr>
              <w:t>Company Assistant Service Kft.</w:t>
            </w:r>
            <w:r w:rsidRPr="00911049">
              <w:rPr>
                <w:rFonts w:ascii="Garamond" w:hAnsi="Garamond"/>
              </w:rPr>
              <w:t xml:space="preserve"> (székhely: 2161 Csomád, Levente u. 14/a</w:t>
            </w:r>
            <w:r w:rsidR="00911049" w:rsidRPr="00911049">
              <w:rPr>
                <w:rFonts w:ascii="Garamond" w:hAnsi="Garamond"/>
              </w:rPr>
              <w:t>.</w:t>
            </w:r>
            <w:r w:rsidR="00911049">
              <w:rPr>
                <w:rFonts w:ascii="Garamond" w:hAnsi="Garamond"/>
              </w:rPr>
              <w:t>,</w:t>
            </w:r>
            <w:r w:rsidRPr="00911049">
              <w:rPr>
                <w:rFonts w:ascii="Garamond" w:hAnsi="Garamond"/>
              </w:rPr>
              <w:t xml:space="preserve"> Cégjegyzékszám: 13-09-180712), mint székhelyszolgáltató </w:t>
            </w:r>
            <w:r w:rsidR="00EF0583" w:rsidRPr="00911049">
              <w:rPr>
                <w:rFonts w:ascii="Garamond" w:hAnsi="Garamond"/>
              </w:rPr>
              <w:t xml:space="preserve">(továbbiakban: </w:t>
            </w:r>
            <w:r w:rsidR="00E12467" w:rsidRPr="00911049">
              <w:rPr>
                <w:rFonts w:ascii="Garamond" w:hAnsi="Garamond"/>
                <w:b/>
              </w:rPr>
              <w:t>s</w:t>
            </w:r>
            <w:r w:rsidRPr="00911049">
              <w:rPr>
                <w:rFonts w:ascii="Garamond" w:hAnsi="Garamond"/>
                <w:b/>
              </w:rPr>
              <w:t>zolgáltató</w:t>
            </w:r>
            <w:r w:rsidRPr="00911049">
              <w:rPr>
                <w:rFonts w:ascii="Garamond" w:hAnsi="Garamond"/>
              </w:rPr>
              <w:t>) és a</w:t>
            </w:r>
            <w:r w:rsidR="00E12467" w:rsidRPr="00911049">
              <w:rPr>
                <w:rFonts w:ascii="Garamond" w:hAnsi="Garamond"/>
              </w:rPr>
              <w:t>z</w:t>
            </w:r>
            <w:r w:rsidRPr="00911049">
              <w:rPr>
                <w:rFonts w:ascii="Garamond" w:hAnsi="Garamond"/>
              </w:rPr>
              <w:t xml:space="preserve"> </w:t>
            </w:r>
            <w:r w:rsidR="00E12467" w:rsidRPr="00911049">
              <w:rPr>
                <w:rFonts w:ascii="Garamond" w:hAnsi="Garamond"/>
              </w:rPr>
              <w:t>i</w:t>
            </w:r>
            <w:r w:rsidRPr="00911049">
              <w:rPr>
                <w:rFonts w:ascii="Garamond" w:hAnsi="Garamond"/>
              </w:rPr>
              <w:t>génybevevő között létrejött székhelyszolgáltatásra vonatkozó jogviszony általános szabályait.</w:t>
            </w:r>
          </w:p>
          <w:p w14:paraId="3FF7AEFA" w14:textId="77777777" w:rsidR="00E12467" w:rsidRPr="00911049" w:rsidRDefault="00E12467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1C0093D9" w14:textId="77777777" w:rsidR="00E12467" w:rsidRPr="00911049" w:rsidRDefault="00E12467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11049">
              <w:rPr>
                <w:rFonts w:ascii="Garamond" w:hAnsi="Garamond"/>
              </w:rPr>
              <w:t>Jelen Általános Szerződési Feltételek</w:t>
            </w:r>
            <w:r w:rsidR="00971619" w:rsidRPr="00911049">
              <w:rPr>
                <w:rFonts w:ascii="Garamond" w:hAnsi="Garamond"/>
              </w:rPr>
              <w:t xml:space="preserve"> (a továbbiakban: </w:t>
            </w:r>
            <w:r w:rsidR="00971619" w:rsidRPr="00911049">
              <w:rPr>
                <w:rFonts w:ascii="Garamond" w:hAnsi="Garamond"/>
                <w:b/>
              </w:rPr>
              <w:t>ÁSZF</w:t>
            </w:r>
            <w:r w:rsidR="00971619" w:rsidRPr="00911049">
              <w:rPr>
                <w:rFonts w:ascii="Garamond" w:hAnsi="Garamond"/>
              </w:rPr>
              <w:t>)</w:t>
            </w:r>
            <w:r w:rsidRPr="00911049">
              <w:rPr>
                <w:rFonts w:ascii="Garamond" w:hAnsi="Garamond"/>
              </w:rPr>
              <w:t xml:space="preserve"> rendelkezései a szolgáltató és az igénybevevő (továbbiakban együtt: </w:t>
            </w:r>
            <w:r w:rsidR="00971619" w:rsidRPr="00911049">
              <w:rPr>
                <w:rFonts w:ascii="Garamond" w:hAnsi="Garamond"/>
                <w:b/>
              </w:rPr>
              <w:t>f</w:t>
            </w:r>
            <w:r w:rsidRPr="00911049">
              <w:rPr>
                <w:rFonts w:ascii="Garamond" w:hAnsi="Garamond"/>
                <w:b/>
              </w:rPr>
              <w:t>elek</w:t>
            </w:r>
            <w:r w:rsidRPr="00911049">
              <w:rPr>
                <w:rFonts w:ascii="Garamond" w:hAnsi="Garamond"/>
              </w:rPr>
              <w:t xml:space="preserve">) között létrejött egyedi szerződésre (továbbiakban: </w:t>
            </w:r>
            <w:r w:rsidR="00EF0583" w:rsidRPr="00911049">
              <w:rPr>
                <w:rFonts w:ascii="Garamond" w:hAnsi="Garamond"/>
                <w:b/>
              </w:rPr>
              <w:t>s</w:t>
            </w:r>
            <w:r w:rsidRPr="00911049">
              <w:rPr>
                <w:rFonts w:ascii="Garamond" w:hAnsi="Garamond"/>
                <w:b/>
              </w:rPr>
              <w:t>zerződés</w:t>
            </w:r>
            <w:r w:rsidRPr="00911049">
              <w:rPr>
                <w:rFonts w:ascii="Garamond" w:hAnsi="Garamond"/>
              </w:rPr>
              <w:t xml:space="preserve">) alkalmazandók. A </w:t>
            </w:r>
            <w:r w:rsidR="00EF0583" w:rsidRPr="00911049">
              <w:rPr>
                <w:rFonts w:ascii="Garamond" w:hAnsi="Garamond"/>
              </w:rPr>
              <w:t>s</w:t>
            </w:r>
            <w:r w:rsidRPr="00911049">
              <w:rPr>
                <w:rFonts w:ascii="Garamond" w:hAnsi="Garamond"/>
              </w:rPr>
              <w:t xml:space="preserve">zerződés a jelen ÁSZF-fel együtt érvényes, és kifejezett és elválaszthatatlan részét képezi a felek jogviszonyának, kivéve, ha a felek írásban a jelen ÁSZF egészének, vagy valamely rendelkezésének alkalmazhatóságát közös megegyezéssel kifejezetten kizárják. </w:t>
            </w:r>
          </w:p>
          <w:p w14:paraId="5D34BC4E" w14:textId="77777777" w:rsidR="00EF0583" w:rsidRPr="00911049" w:rsidRDefault="00EF0583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4B28D952" w14:textId="77777777" w:rsidR="00EF0583" w:rsidRPr="00911049" w:rsidRDefault="00EF0583" w:rsidP="00EF0583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11049">
              <w:rPr>
                <w:rFonts w:ascii="Garamond" w:hAnsi="Garamond"/>
              </w:rPr>
              <w:t xml:space="preserve">A szerződés elválaszthatatlan része az </w:t>
            </w:r>
            <w:r w:rsidRPr="00911049">
              <w:rPr>
                <w:rFonts w:ascii="Garamond" w:hAnsi="Garamond"/>
                <w:b/>
              </w:rPr>
              <w:t>Ügyfél Adatlap</w:t>
            </w:r>
            <w:r w:rsidRPr="00911049">
              <w:rPr>
                <w:rFonts w:ascii="Garamond" w:hAnsi="Garamond"/>
              </w:rPr>
              <w:t xml:space="preserve">, amely tartalmazza az igénybevevő kapcsolattartói adatait (a társaság vagy egyéb szervezet nevét, a kapcsolattartó nevét, telefonszámát, értesítési címét, e-mail címét), az igényelt szolgáltatásokat, valamint a szolgáltatási díjat és a díjfizetés ütemét. Tartalmazza továbbá az igénybevevő által átadott, a 7/2017. (VI. 1.) IM rendeletben és az azt módosító 9/2017. (VII. 18.) IM rendeletben </w:t>
            </w:r>
            <w:r w:rsidR="00A83998" w:rsidRPr="00911049">
              <w:rPr>
                <w:rFonts w:ascii="Garamond" w:hAnsi="Garamond"/>
              </w:rPr>
              <w:t xml:space="preserve">(a továbbiakban együtt: </w:t>
            </w:r>
            <w:r w:rsidR="00A83998" w:rsidRPr="00911049">
              <w:rPr>
                <w:rFonts w:ascii="Garamond" w:hAnsi="Garamond"/>
                <w:b/>
              </w:rPr>
              <w:t>IM rendeletek</w:t>
            </w:r>
            <w:r w:rsidR="00A83998" w:rsidRPr="00911049">
              <w:rPr>
                <w:rFonts w:ascii="Garamond" w:hAnsi="Garamond"/>
              </w:rPr>
              <w:t xml:space="preserve">) </w:t>
            </w:r>
            <w:r w:rsidRPr="00911049">
              <w:rPr>
                <w:rFonts w:ascii="Garamond" w:hAnsi="Garamond"/>
              </w:rPr>
              <w:t xml:space="preserve">meghatározott, a székhelyszolgáltató </w:t>
            </w:r>
            <w:r w:rsidR="00881774" w:rsidRPr="00911049">
              <w:rPr>
                <w:rFonts w:ascii="Garamond" w:hAnsi="Garamond"/>
              </w:rPr>
              <w:t>által őrzendő</w:t>
            </w:r>
            <w:r w:rsidRPr="00911049">
              <w:rPr>
                <w:rFonts w:ascii="Garamond" w:hAnsi="Garamond"/>
              </w:rPr>
              <w:t xml:space="preserve"> dokumentumok jegyzékét</w:t>
            </w:r>
            <w:r w:rsidR="00881774" w:rsidRPr="00911049">
              <w:rPr>
                <w:rFonts w:ascii="Garamond" w:hAnsi="Garamond"/>
              </w:rPr>
              <w:t>.</w:t>
            </w:r>
            <w:r w:rsidRPr="00911049">
              <w:rPr>
                <w:rFonts w:ascii="Garamond" w:hAnsi="Garamond"/>
              </w:rPr>
              <w:t xml:space="preserve"> </w:t>
            </w:r>
          </w:p>
          <w:p w14:paraId="79260896" w14:textId="77777777" w:rsidR="00EF0583" w:rsidRPr="00911049" w:rsidRDefault="00EF0583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43244E9D" w14:textId="77777777" w:rsidR="00E12467" w:rsidRPr="00911049" w:rsidRDefault="00E12467" w:rsidP="00E12467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11049">
              <w:rPr>
                <w:rFonts w:ascii="Garamond" w:hAnsi="Garamond"/>
              </w:rPr>
              <w:t xml:space="preserve">Jelen ÁSZF 2018. </w:t>
            </w:r>
            <w:r w:rsidR="00322D59">
              <w:rPr>
                <w:rFonts w:ascii="Garamond" w:hAnsi="Garamond"/>
              </w:rPr>
              <w:t>Július</w:t>
            </w:r>
            <w:r w:rsidRPr="00911049">
              <w:rPr>
                <w:rFonts w:ascii="Garamond" w:hAnsi="Garamond"/>
              </w:rPr>
              <w:t xml:space="preserve"> 1</w:t>
            </w:r>
            <w:r w:rsidR="00322D59">
              <w:rPr>
                <w:rFonts w:ascii="Garamond" w:hAnsi="Garamond"/>
              </w:rPr>
              <w:t>5</w:t>
            </w:r>
            <w:r w:rsidRPr="00911049">
              <w:rPr>
                <w:rFonts w:ascii="Garamond" w:hAnsi="Garamond"/>
              </w:rPr>
              <w:t xml:space="preserve">-től visszavonásig </w:t>
            </w:r>
            <w:r w:rsidR="00971619" w:rsidRPr="00911049">
              <w:rPr>
                <w:rFonts w:ascii="Garamond" w:hAnsi="Garamond"/>
              </w:rPr>
              <w:t>érvényes</w:t>
            </w:r>
            <w:r w:rsidRPr="00911049">
              <w:rPr>
                <w:rFonts w:ascii="Garamond" w:hAnsi="Garamond"/>
              </w:rPr>
              <w:t>.</w:t>
            </w:r>
          </w:p>
          <w:p w14:paraId="62E8BB11" w14:textId="77777777" w:rsidR="00E12467" w:rsidRPr="00911049" w:rsidRDefault="00E12467" w:rsidP="00E833B9">
            <w:pPr>
              <w:jc w:val="both"/>
              <w:rPr>
                <w:rFonts w:ascii="Garamond" w:hAnsi="Garamond"/>
              </w:rPr>
            </w:pPr>
          </w:p>
          <w:p w14:paraId="155D79CF" w14:textId="77777777" w:rsidR="008C372F" w:rsidRPr="00911049" w:rsidRDefault="008C372F" w:rsidP="0063189A">
            <w:pPr>
              <w:numPr>
                <w:ilvl w:val="0"/>
                <w:numId w:val="2"/>
              </w:numPr>
              <w:spacing w:after="0"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Felek</w:t>
            </w:r>
          </w:p>
          <w:p w14:paraId="3E16ACA0" w14:textId="77777777" w:rsidR="008C372F" w:rsidRPr="00911049" w:rsidRDefault="00AA18FD" w:rsidP="0063189A">
            <w:pPr>
              <w:numPr>
                <w:ilvl w:val="1"/>
                <w:numId w:val="2"/>
              </w:numPr>
              <w:spacing w:after="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  <w:u w:val="single"/>
              </w:rPr>
              <w:t>A szolgáltató</w:t>
            </w:r>
            <w:r w:rsidRPr="00911049">
              <w:rPr>
                <w:rFonts w:ascii="Garamond" w:eastAsia="Calibri" w:hAnsi="Garamond" w:cs="Times New Roman"/>
              </w:rPr>
              <w:t xml:space="preserve"> jogosult a Dunakeszi Járási Hivatal Járási Földhivatalánál </w:t>
            </w:r>
            <w:r w:rsidRPr="00911049">
              <w:rPr>
                <w:rFonts w:ascii="Garamond" w:eastAsia="Calibri" w:hAnsi="Garamond" w:cs="Times New Roman"/>
                <w:b/>
              </w:rPr>
              <w:t xml:space="preserve">1792/A/1 </w:t>
            </w:r>
            <w:r w:rsidRPr="00911049">
              <w:rPr>
                <w:rFonts w:ascii="Garamond" w:eastAsia="Calibri" w:hAnsi="Garamond" w:cs="Times New Roman"/>
              </w:rPr>
              <w:t>helyrajzi szám alatt nyilvántartott, természetben a</w:t>
            </w:r>
            <w:r w:rsidRPr="00911049">
              <w:rPr>
                <w:rFonts w:ascii="Garamond" w:eastAsia="Calibri" w:hAnsi="Garamond" w:cs="Arial"/>
                <w:sz w:val="16"/>
                <w:szCs w:val="16"/>
              </w:rPr>
              <w:t xml:space="preserve"> </w:t>
            </w:r>
            <w:r w:rsidRPr="00911049">
              <w:rPr>
                <w:rFonts w:ascii="Garamond" w:eastAsia="Times New Roman" w:hAnsi="Garamond" w:cs="Calibri"/>
                <w:b/>
                <w:iCs/>
              </w:rPr>
              <w:t>2161 Csomád, Levente u. 14/a.</w:t>
            </w:r>
            <w:r w:rsidRPr="00911049">
              <w:rPr>
                <w:rFonts w:ascii="Garamond" w:eastAsia="Calibri" w:hAnsi="Garamond" w:cs="Times New Roman"/>
              </w:rPr>
              <w:t xml:space="preserve"> szám alatti társasházi ingatlannak (a továbbiakban</w:t>
            </w:r>
            <w:r w:rsidR="00C5420F" w:rsidRPr="00911049">
              <w:rPr>
                <w:rFonts w:ascii="Garamond" w:eastAsia="Calibri" w:hAnsi="Garamond" w:cs="Times New Roman"/>
              </w:rPr>
              <w:t>:</w:t>
            </w:r>
            <w:r w:rsidRPr="00911049">
              <w:rPr>
                <w:rFonts w:ascii="Garamond" w:eastAsia="Calibri" w:hAnsi="Garamond" w:cs="Times New Roman"/>
              </w:rPr>
              <w:t xml:space="preserve"> </w:t>
            </w:r>
            <w:r w:rsidRPr="00911049">
              <w:rPr>
                <w:rFonts w:ascii="Garamond" w:eastAsia="Calibri" w:hAnsi="Garamond" w:cs="Times New Roman"/>
                <w:b/>
              </w:rPr>
              <w:t>ingatlan</w:t>
            </w:r>
            <w:r w:rsidRPr="00911049">
              <w:rPr>
                <w:rFonts w:ascii="Garamond" w:eastAsia="Calibri" w:hAnsi="Garamond" w:cs="Times New Roman"/>
              </w:rPr>
              <w:t xml:space="preserve">) </w:t>
            </w:r>
            <w:r w:rsidR="008C372F" w:rsidRPr="00911049">
              <w:rPr>
                <w:rFonts w:ascii="Garamond" w:eastAsia="Calibri" w:hAnsi="Garamond" w:cs="Times New Roman"/>
              </w:rPr>
              <w:t xml:space="preserve">a </w:t>
            </w:r>
            <w:r w:rsidRPr="00911049">
              <w:rPr>
                <w:rFonts w:ascii="Garamond" w:eastAsia="Calibri" w:hAnsi="Garamond" w:cs="Times New Roman"/>
              </w:rPr>
              <w:t>használatára, illetve az ingatlan tulajdonosával kötött megállapodás alapján jogosult azt harmadik személy részére nyújtott székhelyszolgáltatás útján hasznosítani.</w:t>
            </w:r>
            <w:r w:rsidR="00EA7DDF" w:rsidRPr="00911049">
              <w:rPr>
                <w:rFonts w:ascii="Garamond" w:eastAsia="Calibri" w:hAnsi="Garamond" w:cs="Times New Roman"/>
              </w:rPr>
              <w:t xml:space="preserve"> </w:t>
            </w:r>
            <w:r w:rsidR="000C0A5C" w:rsidRPr="00911049">
              <w:rPr>
                <w:rFonts w:ascii="Garamond" w:eastAsia="Calibri" w:hAnsi="Garamond" w:cs="Times New Roman"/>
              </w:rPr>
              <w:t>A s</w:t>
            </w:r>
            <w:r w:rsidR="008C372F" w:rsidRPr="00911049">
              <w:rPr>
                <w:rFonts w:ascii="Garamond" w:hAnsi="Garamond"/>
              </w:rPr>
              <w:t>zolgáltató kijelenti, hogy szolgáltatási tevékenysége teljes mértékben megf</w:t>
            </w:r>
            <w:r w:rsidR="00A83998" w:rsidRPr="00911049">
              <w:rPr>
                <w:rFonts w:ascii="Garamond" w:hAnsi="Garamond"/>
              </w:rPr>
              <w:t>elel</w:t>
            </w:r>
            <w:r w:rsidR="008C372F" w:rsidRPr="00911049">
              <w:rPr>
                <w:rFonts w:ascii="Garamond" w:hAnsi="Garamond"/>
              </w:rPr>
              <w:t xml:space="preserve"> </w:t>
            </w:r>
            <w:r w:rsidR="00A83998" w:rsidRPr="00911049">
              <w:rPr>
                <w:rFonts w:ascii="Garamond" w:hAnsi="Garamond"/>
              </w:rPr>
              <w:t>az IM rendeletek</w:t>
            </w:r>
            <w:r w:rsidR="008C372F" w:rsidRPr="00911049">
              <w:rPr>
                <w:rFonts w:ascii="Garamond" w:hAnsi="Garamond"/>
              </w:rPr>
              <w:t>ben előírtaknak, amelyért teljes felelősséget vállal.</w:t>
            </w:r>
          </w:p>
          <w:p w14:paraId="06E95955" w14:textId="77777777" w:rsidR="008C372F" w:rsidRPr="00911049" w:rsidRDefault="008C372F" w:rsidP="008C372F">
            <w:pPr>
              <w:spacing w:after="0" w:line="240" w:lineRule="auto"/>
              <w:ind w:left="365" w:hanging="432"/>
              <w:jc w:val="both"/>
              <w:rPr>
                <w:rFonts w:ascii="Garamond" w:eastAsia="Calibri" w:hAnsi="Garamond" w:cs="Times New Roman"/>
              </w:rPr>
            </w:pPr>
          </w:p>
          <w:p w14:paraId="4114D83D" w14:textId="77777777" w:rsidR="00AA18FD" w:rsidRPr="00911049" w:rsidRDefault="00911049" w:rsidP="0063189A">
            <w:pPr>
              <w:numPr>
                <w:ilvl w:val="1"/>
                <w:numId w:val="2"/>
              </w:numPr>
              <w:spacing w:after="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  <w:u w:val="single"/>
              </w:rPr>
              <w:t>Az I</w:t>
            </w:r>
            <w:r w:rsidR="00AA18FD" w:rsidRPr="00911049">
              <w:rPr>
                <w:rFonts w:ascii="Garamond" w:eastAsia="Calibri" w:hAnsi="Garamond" w:cs="Times New Roman"/>
                <w:u w:val="single"/>
              </w:rPr>
              <w:t>génybevevő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kijelenti, hogy a székhelye szerint illetékes cégbíróságnál vezetett cégjegyzékbe bejegyzett és szabályszerűen működő gazdasági társaság. Ellene csőd-, felszámolási, végelszámolási, végrehajtási, </w:t>
            </w:r>
            <w:r w:rsidR="008C372F" w:rsidRPr="00911049">
              <w:rPr>
                <w:rFonts w:ascii="Garamond" w:eastAsia="Calibri" w:hAnsi="Garamond" w:cs="Times New Roman"/>
              </w:rPr>
              <w:t xml:space="preserve">kényszertörlési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vagy </w:t>
            </w:r>
            <w:r w:rsidR="008C372F" w:rsidRPr="00911049">
              <w:rPr>
                <w:rFonts w:ascii="Garamond" w:eastAsia="Calibri" w:hAnsi="Garamond" w:cs="Times New Roman"/>
              </w:rPr>
              <w:t xml:space="preserve">más hasonló hatósági vagy bírósági </w:t>
            </w:r>
            <w:r w:rsidR="00AA18FD" w:rsidRPr="00911049">
              <w:rPr>
                <w:rFonts w:ascii="Garamond" w:eastAsia="Calibri" w:hAnsi="Garamond" w:cs="Times New Roman"/>
              </w:rPr>
              <w:t>eljárás nincs folyamatban, és ennek lehetősége nincs kilátásban. A szerződés megkötéséhez és teljesítéséhez szükséges társasági, hatósági és egyéb felhatalmazással, engedéllyel és jóváhagyással rendelkezik. A szerződés megkötése a másokkal kötött szerződéseit, vagy harmadik személyek jogait nem sérti. A felek vállalják, hogy a jelen pontban meghatározott jogi helyzetek megváltozását a másik féllel haladéktalanul közlik. E közlés elmaradásáért a mulasztó fél felelősséggel tartozik.</w:t>
            </w:r>
          </w:p>
          <w:p w14:paraId="57B86524" w14:textId="77777777" w:rsidR="00AA18FD" w:rsidRPr="00911049" w:rsidRDefault="00AA18FD" w:rsidP="00AA18FD">
            <w:pPr>
              <w:spacing w:after="0" w:line="240" w:lineRule="auto"/>
              <w:ind w:left="357"/>
              <w:jc w:val="both"/>
              <w:rPr>
                <w:rFonts w:ascii="Garamond" w:eastAsia="Calibri" w:hAnsi="Garamond" w:cs="Times New Roman"/>
              </w:rPr>
            </w:pPr>
          </w:p>
          <w:p w14:paraId="580CECC5" w14:textId="77777777" w:rsidR="00C5420F" w:rsidRPr="00911049" w:rsidRDefault="00C5420F" w:rsidP="0063189A">
            <w:pPr>
              <w:numPr>
                <w:ilvl w:val="0"/>
                <w:numId w:val="2"/>
              </w:numPr>
              <w:spacing w:after="120"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A szolgáltatás tartalma</w:t>
            </w:r>
          </w:p>
          <w:p w14:paraId="02E4217B" w14:textId="77777777" w:rsidR="008C372F" w:rsidRPr="00911049" w:rsidRDefault="008C372F" w:rsidP="00911049">
            <w:pPr>
              <w:numPr>
                <w:ilvl w:val="1"/>
                <w:numId w:val="2"/>
              </w:num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szolgáltató vállalja, hogy </w:t>
            </w:r>
            <w:r w:rsidR="00911049" w:rsidRPr="00911049">
              <w:rPr>
                <w:rFonts w:ascii="Garamond" w:eastAsia="Calibri" w:hAnsi="Garamond" w:cs="Times New Roman"/>
                <w:u w:val="single"/>
              </w:rPr>
              <w:t>SZÉKHELYHASZNÁLATOT ENGEDÉLYEZŐ NYILATKOZAT</w:t>
            </w:r>
            <w:r w:rsidR="00911049">
              <w:rPr>
                <w:rFonts w:ascii="Garamond" w:eastAsia="Calibri" w:hAnsi="Garamond" w:cs="Times New Roman"/>
                <w:u w:val="single"/>
              </w:rPr>
              <w:t>OT</w:t>
            </w:r>
            <w:r w:rsidRPr="00911049">
              <w:rPr>
                <w:rFonts w:ascii="Garamond" w:eastAsia="Calibri" w:hAnsi="Garamond" w:cs="Times New Roman"/>
              </w:rPr>
              <w:t xml:space="preserve"> ad ki az igénybevevő részére. A felek megállapodásának megfelelően a szolgáltató hozzájárul ahhoz, hogy a felsorolt dokumentumok felhasználásával az igénybevevő a </w:t>
            </w:r>
            <w:r w:rsidRPr="00911049">
              <w:rPr>
                <w:rFonts w:ascii="Garamond" w:eastAsia="Times New Roman" w:hAnsi="Garamond" w:cs="Calibri"/>
                <w:iCs/>
              </w:rPr>
              <w:t>2161 Csomád, Levente u. 14/a.</w:t>
            </w:r>
            <w:r w:rsidRPr="00911049">
              <w:rPr>
                <w:rFonts w:ascii="Garamond" w:eastAsia="Calibri" w:hAnsi="Garamond" w:cs="Times New Roman"/>
              </w:rPr>
              <w:t xml:space="preserve"> szám alatti ingatlant a cégirataiban székhelyként/telephelyként/fióktelepként tüntesse fel, amelyet az illetékes hatóságokhoz, bíróságokhoz és egyéb szervekhez jogosult bejelenteni.</w:t>
            </w:r>
          </w:p>
          <w:p w14:paraId="04E50BFB" w14:textId="77777777" w:rsidR="00C5420F" w:rsidRPr="00911049" w:rsidRDefault="00C5420F" w:rsidP="0063189A">
            <w:pPr>
              <w:numPr>
                <w:ilvl w:val="1"/>
                <w:numId w:val="2"/>
              </w:numPr>
              <w:spacing w:after="120" w:line="240" w:lineRule="auto"/>
              <w:ind w:left="365" w:hanging="431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lastRenderedPageBreak/>
              <w:t xml:space="preserve">A szolgáltató köteles az igénybevevő </w:t>
            </w:r>
            <w:r w:rsidRPr="00911049">
              <w:rPr>
                <w:rFonts w:ascii="Garamond" w:eastAsia="Calibri" w:hAnsi="Garamond" w:cs="Times New Roman"/>
                <w:u w:val="single"/>
              </w:rPr>
              <w:t>cégtábláját</w:t>
            </w:r>
            <w:r w:rsidRPr="00911049">
              <w:rPr>
                <w:rFonts w:ascii="Garamond" w:eastAsia="Calibri" w:hAnsi="Garamond" w:cs="Times New Roman"/>
              </w:rPr>
              <w:t xml:space="preserve"> az ingatlanon jól látható helyen elhelyezni. </w:t>
            </w:r>
          </w:p>
          <w:p w14:paraId="62095AAD" w14:textId="77777777" w:rsidR="00C5420F" w:rsidRPr="00911049" w:rsidRDefault="00C5420F" w:rsidP="00A51766">
            <w:pPr>
              <w:numPr>
                <w:ilvl w:val="1"/>
                <w:numId w:val="2"/>
              </w:numPr>
              <w:spacing w:after="120" w:line="240" w:lineRule="auto"/>
              <w:ind w:left="365" w:hanging="431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szolgáltató biztosítja, hogy munkanapokon az igénybevevő nevére érkező postai és nem postai </w:t>
            </w:r>
            <w:r w:rsidRPr="00911049">
              <w:rPr>
                <w:rFonts w:ascii="Garamond" w:eastAsia="Calibri" w:hAnsi="Garamond" w:cs="Times New Roman"/>
                <w:u w:val="single"/>
              </w:rPr>
              <w:t>levélküldemények</w:t>
            </w:r>
            <w:r w:rsidRPr="00911049">
              <w:rPr>
                <w:rFonts w:ascii="Garamond" w:eastAsia="Calibri" w:hAnsi="Garamond" w:cs="Times New Roman"/>
              </w:rPr>
              <w:t xml:space="preserve"> átvételre kerüljenek. A szolgáltató csak azokat a levélküldeményeket köteles átvenni, melyen az igénybevevő neve fel van tüntetve. Az igénybevevő a szerződés aláírásával meghatalmazza a szolgáltatót, hogy az minden postai és nem postai, a székhelyre érkező levélküldeménnyel kapcsolatosan önállóan és teljes körűen eljárjon. Az igénybevevő a szerződés aláírásával egy időben köteles a Magyar Posta Zrt. által kibocsátott meghatalmazással meghatalmazni a szolgáltatót a postai küldemények átvételére. Amennyiben a meghatalmazást nem bocsátja a szolgáltató rendelkezésére, a szolgáltatónak nem áll módjában az aláírandó postai küldeményeket átvenni. A szolgáltató az ebből adódó esetleges károkért felelősséget nem vállal. A meghatalmazás nem szerződésszerű használatával kapcsolatos mindennemű igénybevevőt ért kárért a szolgáltató felelősséget vállal.</w:t>
            </w:r>
            <w:r w:rsidR="00911049">
              <w:rPr>
                <w:rFonts w:ascii="Garamond" w:eastAsia="Calibri" w:hAnsi="Garamond" w:cs="Times New Roman"/>
              </w:rPr>
              <w:t xml:space="preserve"> </w:t>
            </w:r>
            <w:r w:rsidRPr="00911049">
              <w:rPr>
                <w:rFonts w:ascii="Garamond" w:eastAsia="Calibri" w:hAnsi="Garamond" w:cs="Times New Roman"/>
              </w:rPr>
              <w:t xml:space="preserve">A szolgáltató az átvett valamennyi küldemény érkezéséről a kézhezvételtől számított legkésőbb 24 órán belül, az </w:t>
            </w:r>
            <w:r w:rsidR="00911049" w:rsidRPr="00911049">
              <w:rPr>
                <w:rFonts w:ascii="Garamond" w:eastAsia="Calibri" w:hAnsi="Garamond" w:cs="Times New Roman"/>
              </w:rPr>
              <w:t>Egyedi Szerződés</w:t>
            </w:r>
            <w:r w:rsidR="00BC199B">
              <w:rPr>
                <w:rFonts w:ascii="Garamond" w:eastAsia="Calibri" w:hAnsi="Garamond" w:cs="Times New Roman"/>
              </w:rPr>
              <w:t xml:space="preserve"> Székhelyszolgáltatásról</w:t>
            </w:r>
            <w:r w:rsidR="00911049" w:rsidRPr="00911049">
              <w:rPr>
                <w:rFonts w:ascii="Garamond" w:eastAsia="Calibri" w:hAnsi="Garamond" w:cs="Times New Roman"/>
              </w:rPr>
              <w:t xml:space="preserve"> (Ügyfél Adatlap</w:t>
            </w:r>
            <w:r w:rsidR="00911049">
              <w:rPr>
                <w:rFonts w:ascii="Garamond" w:eastAsia="Calibri" w:hAnsi="Garamond" w:cs="Times New Roman"/>
              </w:rPr>
              <w:t>)</w:t>
            </w:r>
            <w:r w:rsidR="00BC199B">
              <w:rPr>
                <w:rFonts w:ascii="Garamond" w:eastAsia="Calibri" w:hAnsi="Garamond" w:cs="Times New Roman"/>
              </w:rPr>
              <w:t xml:space="preserve"> című dokumentumban – </w:t>
            </w:r>
            <w:r w:rsidR="00BC199B" w:rsidRPr="00BC199B">
              <w:rPr>
                <w:rFonts w:ascii="Garamond" w:eastAsia="Calibri" w:hAnsi="Garamond" w:cs="Times New Roman"/>
                <w:b/>
              </w:rPr>
              <w:t>továbbiakban Ügyfél Adaltlap</w:t>
            </w:r>
            <w:r w:rsidR="00BC199B">
              <w:rPr>
                <w:rFonts w:ascii="Garamond" w:eastAsia="Calibri" w:hAnsi="Garamond" w:cs="Times New Roman"/>
              </w:rPr>
              <w:t xml:space="preserve"> - </w:t>
            </w:r>
            <w:r w:rsidR="00BC199B" w:rsidRPr="00911049">
              <w:rPr>
                <w:rFonts w:ascii="Garamond" w:eastAsia="Calibri" w:hAnsi="Garamond" w:cs="Times New Roman"/>
              </w:rPr>
              <w:t>megadott</w:t>
            </w:r>
            <w:r w:rsidRPr="00911049">
              <w:rPr>
                <w:rFonts w:ascii="Garamond" w:eastAsia="Calibri" w:hAnsi="Garamond" w:cs="Times New Roman"/>
              </w:rPr>
              <w:t xml:space="preserve"> e-mail címre küldött elektronikus levélben értesíti az igénybevevőt. Az egy napon érkezett küldeményekről </w:t>
            </w:r>
            <w:r w:rsidR="00592F65" w:rsidRPr="00911049">
              <w:rPr>
                <w:rFonts w:ascii="Garamond" w:eastAsia="Calibri" w:hAnsi="Garamond" w:cs="Times New Roman"/>
              </w:rPr>
              <w:t xml:space="preserve">a </w:t>
            </w:r>
            <w:r w:rsidRPr="00911049">
              <w:rPr>
                <w:rFonts w:ascii="Garamond" w:eastAsia="Calibri" w:hAnsi="Garamond" w:cs="Times New Roman"/>
              </w:rPr>
              <w:t>szolgáltató jogosult egy</w:t>
            </w:r>
            <w:r w:rsidR="00592F65" w:rsidRPr="00911049">
              <w:rPr>
                <w:rFonts w:ascii="Garamond" w:eastAsia="Calibri" w:hAnsi="Garamond" w:cs="Times New Roman"/>
              </w:rPr>
              <w:t>,</w:t>
            </w:r>
            <w:r w:rsidRPr="00911049">
              <w:rPr>
                <w:rFonts w:ascii="Garamond" w:eastAsia="Calibri" w:hAnsi="Garamond" w:cs="Times New Roman"/>
              </w:rPr>
              <w:t xml:space="preserve"> valamennyi küldeményt felsoroló e-mailben tájékoztatni az igénybevevőt.</w:t>
            </w:r>
          </w:p>
          <w:p w14:paraId="1BE87C0D" w14:textId="77777777" w:rsidR="00C5420F" w:rsidRPr="00911049" w:rsidRDefault="00C5420F" w:rsidP="0063189A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>A szolgáltató csak a címzett igazolt képviselője, illetőleg az általa igazoltan, szabályosan meghatalmazott személy részére jogosult küldeményt átadni. Az igénybevevő által képviselt személy a küldemények átvételét köteles a szolgáltató által meghatározott módon, írásban igazolni. A küldemény átvételi lap aláírásával az igénybevevő igazolja, hogy az ott feltüntetett dátumig beérkezett összes küldeményt átvette a szolgáltatótól</w:t>
            </w:r>
            <w:r w:rsidR="00592F65" w:rsidRPr="00911049">
              <w:rPr>
                <w:rFonts w:ascii="Garamond" w:eastAsia="Calibri" w:hAnsi="Garamond" w:cs="Times New Roman"/>
              </w:rPr>
              <w:t>.</w:t>
            </w:r>
          </w:p>
          <w:p w14:paraId="40EBC7C7" w14:textId="77777777" w:rsidR="00A22D61" w:rsidRPr="00911049" w:rsidRDefault="00A22D61" w:rsidP="0063189A">
            <w:pPr>
              <w:numPr>
                <w:ilvl w:val="1"/>
                <w:numId w:val="2"/>
              </w:numPr>
              <w:spacing w:after="120" w:line="240" w:lineRule="auto"/>
              <w:ind w:left="365" w:hanging="431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szolgáltató szerződésben foglalt székhelyszolgáltatásra irányuló kötelezettségén kívül </w:t>
            </w:r>
            <w:r w:rsidRPr="00911049">
              <w:rPr>
                <w:rFonts w:ascii="Garamond" w:eastAsia="Calibri" w:hAnsi="Garamond" w:cs="Times New Roman"/>
                <w:u w:val="single"/>
              </w:rPr>
              <w:t>egyéb irodai ügyintézés</w:t>
            </w:r>
            <w:r w:rsidRPr="00911049">
              <w:rPr>
                <w:rFonts w:ascii="Garamond" w:eastAsia="Calibri" w:hAnsi="Garamond" w:cs="Times New Roman"/>
              </w:rPr>
              <w:t xml:space="preserve">t, </w:t>
            </w:r>
            <w:r w:rsidRPr="00911049">
              <w:rPr>
                <w:rFonts w:ascii="Garamond" w:eastAsia="Calibri" w:hAnsi="Garamond" w:cs="Times New Roman"/>
                <w:u w:val="single"/>
              </w:rPr>
              <w:t xml:space="preserve">tárgyaló helyiség </w:t>
            </w:r>
            <w:r w:rsidR="00BE0A49" w:rsidRPr="00911049">
              <w:rPr>
                <w:rFonts w:ascii="Garamond" w:eastAsia="Calibri" w:hAnsi="Garamond" w:cs="Times New Roman"/>
                <w:u w:val="single"/>
              </w:rPr>
              <w:t>bérbeadás</w:t>
            </w:r>
            <w:r w:rsidRPr="00911049">
              <w:rPr>
                <w:rFonts w:ascii="Garamond" w:eastAsia="Calibri" w:hAnsi="Garamond" w:cs="Times New Roman"/>
              </w:rPr>
              <w:t>t</w:t>
            </w:r>
            <w:r w:rsidR="00BE0A49" w:rsidRPr="00911049">
              <w:rPr>
                <w:rFonts w:ascii="Garamond" w:eastAsia="Calibri" w:hAnsi="Garamond" w:cs="Times New Roman"/>
              </w:rPr>
              <w:t xml:space="preserve">, </w:t>
            </w:r>
            <w:r w:rsidR="00BE0A49" w:rsidRPr="00911049">
              <w:rPr>
                <w:rFonts w:ascii="Garamond" w:eastAsia="Calibri" w:hAnsi="Garamond" w:cs="Times New Roman"/>
                <w:u w:val="single"/>
              </w:rPr>
              <w:t>tárgyak vagy iratok tárolását</w:t>
            </w:r>
            <w:r w:rsidR="00BE0A49" w:rsidRPr="00911049">
              <w:rPr>
                <w:rFonts w:ascii="Garamond" w:eastAsia="Calibri" w:hAnsi="Garamond" w:cs="Times New Roman"/>
              </w:rPr>
              <w:t xml:space="preserve"> (</w:t>
            </w:r>
            <w:r w:rsidR="00332B68" w:rsidRPr="00911049">
              <w:rPr>
                <w:rFonts w:ascii="Garamond" w:eastAsia="Calibri" w:hAnsi="Garamond" w:cs="Times New Roman"/>
              </w:rPr>
              <w:t xml:space="preserve">kivéve </w:t>
            </w:r>
            <w:r w:rsidR="00BE0A49" w:rsidRPr="00911049">
              <w:rPr>
                <w:rFonts w:ascii="Garamond" w:eastAsia="Calibri" w:hAnsi="Garamond" w:cs="Times New Roman"/>
              </w:rPr>
              <w:t>az Ügyfél Adatlapon felsorolt, a szolgáltató által kötelezően őrzendő dokumentumok</w:t>
            </w:r>
            <w:r w:rsidR="00332B68" w:rsidRPr="00911049">
              <w:rPr>
                <w:rFonts w:ascii="Garamond" w:eastAsia="Calibri" w:hAnsi="Garamond" w:cs="Times New Roman"/>
              </w:rPr>
              <w:t xml:space="preserve">at) </w:t>
            </w:r>
            <w:r w:rsidRPr="00911049">
              <w:rPr>
                <w:rFonts w:ascii="Garamond" w:eastAsia="Calibri" w:hAnsi="Garamond" w:cs="Times New Roman"/>
              </w:rPr>
              <w:t>csak külön díjazás ellenében, a felek között erre irányuló külön megállapodás alapján vállal. A kiegészítő szolgáltatások</w:t>
            </w:r>
            <w:r w:rsidR="00332B68" w:rsidRPr="00911049">
              <w:rPr>
                <w:rFonts w:ascii="Garamond" w:eastAsia="Calibri" w:hAnsi="Garamond" w:cs="Times New Roman"/>
              </w:rPr>
              <w:t xml:space="preserve">at </w:t>
            </w:r>
            <w:r w:rsidRPr="00911049">
              <w:rPr>
                <w:rFonts w:ascii="Garamond" w:eastAsia="Calibri" w:hAnsi="Garamond" w:cs="Times New Roman"/>
              </w:rPr>
              <w:t>és azok díjazását</w:t>
            </w:r>
            <w:r w:rsidR="00332B68" w:rsidRPr="00911049">
              <w:rPr>
                <w:rFonts w:ascii="Garamond" w:eastAsia="Calibri" w:hAnsi="Garamond" w:cs="Times New Roman"/>
              </w:rPr>
              <w:t xml:space="preserve"> a szolgáltató mindenkori aktuális árlistája vagy a felek egyedi megállapodása határozza meg</w:t>
            </w:r>
            <w:r w:rsidRPr="00911049">
              <w:rPr>
                <w:rFonts w:ascii="Garamond" w:eastAsia="Calibri" w:hAnsi="Garamond" w:cs="Times New Roman"/>
              </w:rPr>
              <w:t>.</w:t>
            </w:r>
          </w:p>
          <w:p w14:paraId="305BFAF4" w14:textId="77777777" w:rsidR="008029A1" w:rsidRPr="00911049" w:rsidRDefault="008029A1" w:rsidP="008029A1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</w:p>
          <w:p w14:paraId="53B73E6D" w14:textId="77777777" w:rsidR="008029A1" w:rsidRPr="00911049" w:rsidRDefault="008029A1" w:rsidP="00F76C59">
            <w:pPr>
              <w:numPr>
                <w:ilvl w:val="0"/>
                <w:numId w:val="2"/>
              </w:numPr>
              <w:spacing w:after="120"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Nyilvántartásba vétel</w:t>
            </w:r>
          </w:p>
          <w:p w14:paraId="37E2C8FE" w14:textId="77777777" w:rsidR="00CF72D4" w:rsidRPr="00911049" w:rsidRDefault="00162EFF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u w:val="single"/>
              </w:rPr>
              <w:t xml:space="preserve">Új székhelycím nyilvántartásba vétele.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Ahhoz, hogy az igénybevevő az ingatlant székhelyként használhassa, szükséges </w:t>
            </w:r>
            <w:r w:rsidR="004A3A13" w:rsidRPr="00911049">
              <w:rPr>
                <w:rFonts w:ascii="Garamond" w:eastAsia="Calibri" w:hAnsi="Garamond" w:cs="Times New Roman"/>
              </w:rPr>
              <w:t xml:space="preserve">az új székhelycímnek a cégjegyzékben - vagy egyéb szervezet esetében annak nyilvántartó hatóságánál - való átvezetése. A nyilvántartásba vétel ügyintézése, és ehhez az igénybevevő </w:t>
            </w:r>
            <w:r w:rsidR="008029A1" w:rsidRPr="00911049">
              <w:rPr>
                <w:rFonts w:ascii="Garamond" w:eastAsia="Calibri" w:hAnsi="Garamond" w:cs="Times New Roman"/>
              </w:rPr>
              <w:t>létesítő okirat</w:t>
            </w:r>
            <w:r w:rsidR="004A3A13" w:rsidRPr="00911049">
              <w:rPr>
                <w:rFonts w:ascii="Garamond" w:eastAsia="Calibri" w:hAnsi="Garamond" w:cs="Times New Roman"/>
              </w:rPr>
              <w:t>ának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és kapcsolódó egyéb cég</w:t>
            </w:r>
            <w:r w:rsidR="008029A1" w:rsidRPr="00911049">
              <w:rPr>
                <w:rFonts w:ascii="Garamond" w:eastAsia="Calibri" w:hAnsi="Garamond" w:cs="Times New Roman"/>
              </w:rPr>
              <w:t>es vagy szervezeti ok</w:t>
            </w:r>
            <w:r w:rsidR="00AA18FD" w:rsidRPr="00911049">
              <w:rPr>
                <w:rFonts w:ascii="Garamond" w:eastAsia="Calibri" w:hAnsi="Garamond" w:cs="Times New Roman"/>
              </w:rPr>
              <w:t>irat</w:t>
            </w:r>
            <w:r w:rsidR="004A3A13" w:rsidRPr="00911049">
              <w:rPr>
                <w:rFonts w:ascii="Garamond" w:eastAsia="Calibri" w:hAnsi="Garamond" w:cs="Times New Roman"/>
              </w:rPr>
              <w:t xml:space="preserve">ainak </w:t>
            </w:r>
            <w:r w:rsidR="00AA18FD" w:rsidRPr="00911049">
              <w:rPr>
                <w:rFonts w:ascii="Garamond" w:eastAsia="Calibri" w:hAnsi="Garamond" w:cs="Times New Roman"/>
              </w:rPr>
              <w:t>módosítása</w:t>
            </w:r>
            <w:r w:rsidR="004A3A13" w:rsidRPr="00911049">
              <w:rPr>
                <w:rFonts w:ascii="Garamond" w:eastAsia="Calibri" w:hAnsi="Garamond" w:cs="Times New Roman"/>
              </w:rPr>
              <w:t xml:space="preserve"> </w:t>
            </w:r>
            <w:r w:rsidR="00CF72D4" w:rsidRPr="00911049">
              <w:rPr>
                <w:rFonts w:ascii="Garamond" w:eastAsia="Calibri" w:hAnsi="Garamond" w:cs="Times New Roman"/>
              </w:rPr>
              <w:t xml:space="preserve">az igénybevevő kötelessége. Az igénybevevő tudomásul veszi, hogy a nyilvántartásba vételhez szükséges céges és egyéb okiratok elkészítésével, módosításával, továbbá a cégbírósági vagy egyéb eljárással kapcsolatos költségek (ügyvédi munkadíj, illeték, költségtérítés) kizárólag az igénybevevőt terhelik. </w:t>
            </w:r>
          </w:p>
          <w:p w14:paraId="1245999C" w14:textId="77777777" w:rsidR="00CF72D4" w:rsidRPr="00911049" w:rsidRDefault="00AA18FD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Cs/>
              </w:rPr>
              <w:t xml:space="preserve">Amennyiben 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>a székhelyként való bejegyzés</w:t>
            </w:r>
            <w:r w:rsidRPr="00911049">
              <w:rPr>
                <w:rFonts w:ascii="Garamond" w:eastAsia="Calibri" w:hAnsi="Garamond" w:cs="Times New Roman"/>
                <w:bCs/>
              </w:rPr>
              <w:t xml:space="preserve"> iránti cégbírósági 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 xml:space="preserve">vagy más hatósági </w:t>
            </w:r>
            <w:r w:rsidRPr="00911049">
              <w:rPr>
                <w:rFonts w:ascii="Garamond" w:eastAsia="Calibri" w:hAnsi="Garamond" w:cs="Times New Roman"/>
                <w:bCs/>
              </w:rPr>
              <w:t>eljárást az igénybevevő nem indítja meg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>,</w:t>
            </w:r>
            <w:r w:rsidRPr="00911049">
              <w:rPr>
                <w:rFonts w:ascii="Garamond" w:eastAsia="Calibri" w:hAnsi="Garamond" w:cs="Times New Roman"/>
                <w:bCs/>
              </w:rPr>
              <w:t xml:space="preserve"> vagy a bejegyzési eljárás a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 xml:space="preserve"> szolgáltató hibáján kívül eső okból </w:t>
            </w:r>
            <w:r w:rsidRPr="00911049">
              <w:rPr>
                <w:rFonts w:ascii="Garamond" w:eastAsia="Calibri" w:hAnsi="Garamond" w:cs="Times New Roman"/>
                <w:bCs/>
                <w:u w:val="single"/>
              </w:rPr>
              <w:t>sikertelen</w:t>
            </w:r>
            <w:r w:rsidRPr="00911049">
              <w:rPr>
                <w:rFonts w:ascii="Garamond" w:eastAsia="Calibri" w:hAnsi="Garamond" w:cs="Times New Roman"/>
                <w:bCs/>
              </w:rPr>
              <w:t xml:space="preserve"> lesz, úgy a szerződéskötéskor kifizetett szolgáltatási díj a szolgáltatót illeti, és mint meghiúsulási kötbért jogosult </w:t>
            </w:r>
            <w:r w:rsidR="004A3A13" w:rsidRPr="00911049">
              <w:rPr>
                <w:rFonts w:ascii="Garamond" w:eastAsia="Calibri" w:hAnsi="Garamond" w:cs="Times New Roman"/>
                <w:bCs/>
              </w:rPr>
              <w:t xml:space="preserve">azt </w:t>
            </w:r>
            <w:r w:rsidRPr="00911049">
              <w:rPr>
                <w:rFonts w:ascii="Garamond" w:eastAsia="Calibri" w:hAnsi="Garamond" w:cs="Times New Roman"/>
                <w:bCs/>
              </w:rPr>
              <w:t>megtartani.</w:t>
            </w:r>
            <w:r w:rsidRPr="00911049">
              <w:rPr>
                <w:rFonts w:ascii="Garamond" w:eastAsia="Calibri" w:hAnsi="Garamond" w:cs="Times New Roman"/>
              </w:rPr>
              <w:t xml:space="preserve"> </w:t>
            </w:r>
          </w:p>
          <w:p w14:paraId="1322A747" w14:textId="77777777" w:rsidR="00CF72D4" w:rsidRPr="00911049" w:rsidRDefault="00AA18FD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Amennyiben az illetékes cégbíróság </w:t>
            </w:r>
            <w:r w:rsidR="004A3A13" w:rsidRPr="00911049">
              <w:rPr>
                <w:rFonts w:ascii="Garamond" w:eastAsia="Calibri" w:hAnsi="Garamond" w:cs="Times New Roman"/>
              </w:rPr>
              <w:t xml:space="preserve">vagy más nyilvántartó hatóság </w:t>
            </w:r>
            <w:r w:rsidRPr="00911049">
              <w:rPr>
                <w:rFonts w:ascii="Garamond" w:eastAsia="Calibri" w:hAnsi="Garamond" w:cs="Times New Roman"/>
              </w:rPr>
              <w:t xml:space="preserve">nyilvántartásába az ingatlan székhelyként való bejegyzése </w:t>
            </w:r>
            <w:r w:rsidR="00162EFF" w:rsidRPr="00911049">
              <w:rPr>
                <w:rFonts w:ascii="Garamond" w:eastAsia="Calibri" w:hAnsi="Garamond" w:cs="Times New Roman"/>
                <w:u w:val="single"/>
              </w:rPr>
              <w:t xml:space="preserve">sikeresen </w:t>
            </w:r>
            <w:r w:rsidRPr="00911049">
              <w:rPr>
                <w:rFonts w:ascii="Garamond" w:eastAsia="Calibri" w:hAnsi="Garamond" w:cs="Times New Roman"/>
              </w:rPr>
              <w:t xml:space="preserve">megtörtént, </w:t>
            </w:r>
            <w:r w:rsidR="004A3A13" w:rsidRPr="00911049">
              <w:rPr>
                <w:rFonts w:ascii="Garamond" w:eastAsia="Calibri" w:hAnsi="Garamond" w:cs="Times New Roman"/>
              </w:rPr>
              <w:t xml:space="preserve">az </w:t>
            </w:r>
            <w:r w:rsidRPr="00911049">
              <w:rPr>
                <w:rFonts w:ascii="Garamond" w:eastAsia="Calibri" w:hAnsi="Garamond" w:cs="Times New Roman"/>
              </w:rPr>
              <w:t xml:space="preserve">erről </w:t>
            </w:r>
            <w:r w:rsidR="004A3A13" w:rsidRPr="00911049">
              <w:rPr>
                <w:rFonts w:ascii="Garamond" w:eastAsia="Calibri" w:hAnsi="Garamond" w:cs="Times New Roman"/>
              </w:rPr>
              <w:t xml:space="preserve">szóló </w:t>
            </w:r>
            <w:r w:rsidR="007C2910" w:rsidRPr="00911049">
              <w:rPr>
                <w:rFonts w:ascii="Garamond" w:eastAsia="Calibri" w:hAnsi="Garamond" w:cs="Times New Roman"/>
              </w:rPr>
              <w:t>jogerős bejegyző végzés</w:t>
            </w:r>
            <w:r w:rsidR="004A3A13" w:rsidRPr="00911049">
              <w:rPr>
                <w:rFonts w:ascii="Garamond" w:eastAsia="Calibri" w:hAnsi="Garamond" w:cs="Times New Roman"/>
              </w:rPr>
              <w:t xml:space="preserve">t az igénybevevő köteles a szolgáltatóhoz haladéktalanul eljuttatni. Cég esetében </w:t>
            </w:r>
            <w:r w:rsidR="0099561E" w:rsidRPr="00911049">
              <w:rPr>
                <w:rFonts w:ascii="Garamond" w:eastAsia="Calibri" w:hAnsi="Garamond" w:cs="Times New Roman"/>
              </w:rPr>
              <w:t xml:space="preserve">az igénybevevő </w:t>
            </w:r>
            <w:r w:rsidR="004A3A13" w:rsidRPr="00911049">
              <w:rPr>
                <w:rFonts w:ascii="Garamond" w:eastAsia="Calibri" w:hAnsi="Garamond" w:cs="Times New Roman"/>
              </w:rPr>
              <w:t>a cégeljárás megindításakor benyújtott e-akt</w:t>
            </w:r>
            <w:r w:rsidR="0099561E" w:rsidRPr="00911049">
              <w:rPr>
                <w:rFonts w:ascii="Garamond" w:eastAsia="Calibri" w:hAnsi="Garamond" w:cs="Times New Roman"/>
              </w:rPr>
              <w:t>át</w:t>
            </w:r>
            <w:r w:rsidR="004A3A13" w:rsidRPr="00911049">
              <w:rPr>
                <w:rFonts w:ascii="Garamond" w:eastAsia="Calibri" w:hAnsi="Garamond" w:cs="Times New Roman"/>
              </w:rPr>
              <w:t xml:space="preserve"> és a cégbíróság bejegyző végzés</w:t>
            </w:r>
            <w:r w:rsidR="0099561E" w:rsidRPr="00911049">
              <w:rPr>
                <w:rFonts w:ascii="Garamond" w:eastAsia="Calibri" w:hAnsi="Garamond" w:cs="Times New Roman"/>
              </w:rPr>
              <w:t xml:space="preserve">ét továbbítja a szolgáltató e-mail címére, továbbá gondoskodik arról, hogy a létesítő okirat és a vezető tisztségviselő aláírási címpéldánya vagy aláírásmintája egy-egy eredeti példányban a szolgáltató birtokába kerüljön. Más szervezet esetében az igénybevevő a nyilvántartásba vételi eljáráshoz benyújtott okiratok másolatait továbbá a létesítő okirat és a törvényes képviselő aláírási címpéldánya egy-egy eredeti példányát juttatja el a </w:t>
            </w:r>
            <w:r w:rsidRPr="00911049">
              <w:rPr>
                <w:rFonts w:ascii="Garamond" w:eastAsia="Calibri" w:hAnsi="Garamond" w:cs="Times New Roman"/>
              </w:rPr>
              <w:t>szolgáltató</w:t>
            </w:r>
            <w:r w:rsidR="0099561E" w:rsidRPr="00911049">
              <w:rPr>
                <w:rFonts w:ascii="Garamond" w:eastAsia="Calibri" w:hAnsi="Garamond" w:cs="Times New Roman"/>
              </w:rPr>
              <w:t xml:space="preserve"> részére. </w:t>
            </w:r>
          </w:p>
          <w:p w14:paraId="33780BB6" w14:textId="77777777" w:rsidR="00911049" w:rsidRDefault="00911049" w:rsidP="00911049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1F661272" w14:textId="77777777" w:rsidR="00911049" w:rsidRPr="00911049" w:rsidRDefault="00911049" w:rsidP="00911049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</w:p>
          <w:p w14:paraId="29DE6446" w14:textId="77777777" w:rsidR="00CE49C4" w:rsidRPr="00911049" w:rsidRDefault="00CE49C4" w:rsidP="00F76C59">
            <w:pPr>
              <w:numPr>
                <w:ilvl w:val="0"/>
                <w:numId w:val="2"/>
              </w:numPr>
              <w:spacing w:after="120"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lastRenderedPageBreak/>
              <w:t>Az igénybevevő kötelezettségei</w:t>
            </w:r>
          </w:p>
          <w:p w14:paraId="53B9A87F" w14:textId="77777777" w:rsidR="00883F3D" w:rsidRPr="00911049" w:rsidRDefault="00883F3D" w:rsidP="0063189A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  <w:u w:val="single"/>
              </w:rPr>
              <w:t>Adat</w:t>
            </w:r>
            <w:r w:rsidR="00C43ACF" w:rsidRPr="00911049">
              <w:rPr>
                <w:rFonts w:ascii="Garamond" w:eastAsia="Calibri" w:hAnsi="Garamond" w:cs="Times New Roman"/>
                <w:u w:val="single"/>
              </w:rPr>
              <w:t>szolgáltatás</w:t>
            </w:r>
            <w:r w:rsidRPr="00911049">
              <w:rPr>
                <w:rFonts w:ascii="Garamond" w:eastAsia="Calibri" w:hAnsi="Garamond" w:cs="Times New Roman"/>
                <w:u w:val="single"/>
              </w:rPr>
              <w:t>, meghatalmazás.</w:t>
            </w:r>
            <w:r w:rsidRPr="00911049">
              <w:rPr>
                <w:rFonts w:ascii="Garamond" w:eastAsia="Calibri" w:hAnsi="Garamond" w:cs="Times New Roman"/>
              </w:rPr>
              <w:t xml:space="preserve"> </w:t>
            </w:r>
            <w:r w:rsidR="00CE49C4" w:rsidRPr="00911049">
              <w:rPr>
                <w:rFonts w:ascii="Garamond" w:eastAsia="Calibri" w:hAnsi="Garamond" w:cs="Times New Roman"/>
              </w:rPr>
              <w:t xml:space="preserve">Az igénybevevő az új székhely nyilvántartásba vételét követően 8 napon belül köteles személyesen megjelenni a székhelyszolgáltatónál a nyilvántartásba vett adatok és az egyébként a szolgáltatás teljesítéséhez szükséges értesítési adatok rögzítése, a postai küldemények átvételére vonatkozó meghatalmazás aláírása, az önkormányzati bejelentőlap kitöltése és az egyéb kötelezően előírt adminisztratív teendők ellátása érdekében. </w:t>
            </w:r>
            <w:r w:rsidRPr="00911049">
              <w:rPr>
                <w:rFonts w:ascii="Garamond" w:eastAsia="Calibri" w:hAnsi="Garamond" w:cs="Times New Roman"/>
              </w:rPr>
              <w:t xml:space="preserve">A felek rögzítik az igénybevevő képviselőjének, tagjainak, meghatalmazottjának magyarországi címét, e-mail címét és telefonszámát. A felek külön rögzítik azt az értesítési e-mail címet, amelyen az igénybevevő a szolgáltató értesítéseit fogadja az érkezett postai küldeményekről vagy egyéb kapcsolattartási céllal. </w:t>
            </w:r>
          </w:p>
          <w:p w14:paraId="1481EC87" w14:textId="77777777" w:rsidR="00883F3D" w:rsidRPr="00911049" w:rsidRDefault="00883F3D" w:rsidP="0063189A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Amennyiben a szerződés hatálya alatt az igénybevevőnek a kapcsolattartásra szolgáló bármely elérhetősége megváltozik, köteles erről a szolgáltatót haladéktalanul értesíteni. Amennyiben az igénybevevő a megadott elérhetőségein nem elérhető, és a szolgáltató felé nem közölte az elérhetőségeinek esetleges megváltozását, és emiatt a szolgáltató nem tudja az igénybevevőt a neki érkezett küldeményekről vagy egyéb történésről értesíteni, az értesítés elmaradásából fakadó következményekért az igénybevevő felel. Ebben az esetben a szolgáltató jogosult a szerződés rendkívüli felmondására.</w:t>
            </w:r>
          </w:p>
          <w:p w14:paraId="575BA918" w14:textId="77777777" w:rsidR="00167B0F" w:rsidRPr="00911049" w:rsidRDefault="00162EFF" w:rsidP="0063189A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u w:val="single"/>
              </w:rPr>
              <w:t>Iratátadás.</w:t>
            </w:r>
            <w:r w:rsidRPr="00911049">
              <w:rPr>
                <w:rFonts w:ascii="Garamond" w:eastAsia="Calibri" w:hAnsi="Garamond" w:cs="Times New Roman"/>
              </w:rPr>
              <w:t xml:space="preserve"> </w:t>
            </w:r>
            <w:r w:rsidR="00CF72D4" w:rsidRPr="00911049">
              <w:rPr>
                <w:rFonts w:ascii="Garamond" w:eastAsia="Calibri" w:hAnsi="Garamond" w:cs="Times New Roman"/>
              </w:rPr>
              <w:t>Az</w:t>
            </w:r>
            <w:r w:rsidR="00A70566" w:rsidRPr="00911049">
              <w:rPr>
                <w:rFonts w:ascii="Garamond" w:eastAsia="Calibri" w:hAnsi="Garamond" w:cs="Times New Roman"/>
              </w:rPr>
              <w:t xml:space="preserve"> IM </w:t>
            </w:r>
            <w:r w:rsidR="00AC5A69" w:rsidRPr="00911049">
              <w:rPr>
                <w:rFonts w:ascii="Garamond" w:eastAsia="Calibri" w:hAnsi="Garamond" w:cs="Times New Roman"/>
              </w:rPr>
              <w:t>rendelet</w:t>
            </w:r>
            <w:r w:rsidR="00CF72D4" w:rsidRPr="00911049">
              <w:rPr>
                <w:rFonts w:ascii="Garamond" w:eastAsia="Calibri" w:hAnsi="Garamond" w:cs="Times New Roman"/>
              </w:rPr>
              <w:t>ek</w:t>
            </w:r>
            <w:r w:rsidR="00AC5A69" w:rsidRPr="00911049">
              <w:rPr>
                <w:rFonts w:ascii="Garamond" w:eastAsia="Calibri" w:hAnsi="Garamond" w:cs="Times New Roman"/>
              </w:rPr>
              <w:t xml:space="preserve">nek megfelelően </w:t>
            </w:r>
            <w:r w:rsidR="00CF72D4" w:rsidRPr="00911049">
              <w:rPr>
                <w:rFonts w:ascii="Garamond" w:eastAsia="Calibri" w:hAnsi="Garamond" w:cs="Times New Roman"/>
              </w:rPr>
              <w:t xml:space="preserve">az </w:t>
            </w:r>
            <w:r w:rsidR="00AC5A69" w:rsidRPr="00911049">
              <w:rPr>
                <w:rFonts w:ascii="Garamond" w:eastAsia="Calibri" w:hAnsi="Garamond" w:cs="Times New Roman"/>
              </w:rPr>
              <w:t xml:space="preserve">igénybevevő </w:t>
            </w:r>
            <w:r w:rsidR="002E3E98" w:rsidRPr="00911049">
              <w:rPr>
                <w:rFonts w:ascii="Garamond" w:eastAsia="Calibri" w:hAnsi="Garamond" w:cs="Times New Roman"/>
              </w:rPr>
              <w:t xml:space="preserve">köteles </w:t>
            </w:r>
            <w:r w:rsidR="00CF72D4" w:rsidRPr="00911049">
              <w:rPr>
                <w:rFonts w:ascii="Garamond" w:eastAsia="Calibri" w:hAnsi="Garamond" w:cs="Times New Roman"/>
              </w:rPr>
              <w:t xml:space="preserve">a </w:t>
            </w:r>
            <w:r w:rsidR="002E3E98" w:rsidRPr="00911049">
              <w:rPr>
                <w:rFonts w:ascii="Garamond" w:eastAsia="Calibri" w:hAnsi="Garamond" w:cs="Times New Roman"/>
              </w:rPr>
              <w:t>szolgáltatónak egy</w:t>
            </w:r>
            <w:r w:rsidR="00CF72D4" w:rsidRPr="00911049">
              <w:rPr>
                <w:rFonts w:ascii="Garamond" w:eastAsia="Calibri" w:hAnsi="Garamond" w:cs="Times New Roman"/>
              </w:rPr>
              <w:t>-egy</w:t>
            </w:r>
            <w:r w:rsidR="002E3E98" w:rsidRPr="00911049">
              <w:rPr>
                <w:rFonts w:ascii="Garamond" w:eastAsia="Calibri" w:hAnsi="Garamond" w:cs="Times New Roman"/>
              </w:rPr>
              <w:t xml:space="preserve"> eredeti példányban </w:t>
            </w:r>
            <w:r w:rsidR="00820BE5" w:rsidRPr="00911049">
              <w:rPr>
                <w:rFonts w:ascii="Garamond" w:eastAsia="Calibri" w:hAnsi="Garamond" w:cs="Times New Roman"/>
              </w:rPr>
              <w:t xml:space="preserve">átadni </w:t>
            </w:r>
            <w:r w:rsidR="002E3E98" w:rsidRPr="00911049">
              <w:rPr>
                <w:rFonts w:ascii="Garamond" w:eastAsia="Calibri" w:hAnsi="Garamond" w:cs="Times New Roman"/>
              </w:rPr>
              <w:t>vállalkozása hatósági engedélyeit, az adóhatósághoz történő adat-bejelentési kötelezettségeivel összefüggő iratait, a számviteli törvény szerinti beszámoló</w:t>
            </w:r>
            <w:r w:rsidR="00CF72D4" w:rsidRPr="00911049">
              <w:rPr>
                <w:rFonts w:ascii="Garamond" w:eastAsia="Calibri" w:hAnsi="Garamond" w:cs="Times New Roman"/>
              </w:rPr>
              <w:t>i</w:t>
            </w:r>
            <w:r w:rsidR="002E3E98" w:rsidRPr="00911049">
              <w:rPr>
                <w:rFonts w:ascii="Garamond" w:eastAsia="Calibri" w:hAnsi="Garamond" w:cs="Times New Roman"/>
              </w:rPr>
              <w:t>t</w:t>
            </w:r>
            <w:r w:rsidR="00FB5735" w:rsidRPr="00911049">
              <w:rPr>
                <w:rFonts w:ascii="Garamond" w:eastAsia="Calibri" w:hAnsi="Garamond" w:cs="Times New Roman"/>
              </w:rPr>
              <w:t xml:space="preserve"> továbbá minden</w:t>
            </w:r>
            <w:r w:rsidR="00CF72D4" w:rsidRPr="00911049">
              <w:rPr>
                <w:rFonts w:ascii="Garamond" w:eastAsia="Calibri" w:hAnsi="Garamond" w:cs="Times New Roman"/>
              </w:rPr>
              <w:t>, a nyilvántartott</w:t>
            </w:r>
            <w:r w:rsidR="00FB5735" w:rsidRPr="00911049">
              <w:rPr>
                <w:rFonts w:ascii="Garamond" w:eastAsia="Calibri" w:hAnsi="Garamond" w:cs="Times New Roman"/>
              </w:rPr>
              <w:t xml:space="preserve"> adatokban történő változásra vonatkozó cégbíróságra </w:t>
            </w:r>
            <w:r w:rsidR="00CF72D4" w:rsidRPr="00911049">
              <w:rPr>
                <w:rFonts w:ascii="Garamond" w:eastAsia="Calibri" w:hAnsi="Garamond" w:cs="Times New Roman"/>
              </w:rPr>
              <w:t xml:space="preserve">vagy más nyilvántartó hatósághoz </w:t>
            </w:r>
            <w:r w:rsidR="00FB5735" w:rsidRPr="00911049">
              <w:rPr>
                <w:rFonts w:ascii="Garamond" w:eastAsia="Calibri" w:hAnsi="Garamond" w:cs="Times New Roman"/>
              </w:rPr>
              <w:t xml:space="preserve">benyújtásra kerülő </w:t>
            </w:r>
            <w:r w:rsidR="00CF72D4" w:rsidRPr="00911049">
              <w:rPr>
                <w:rFonts w:ascii="Garamond" w:eastAsia="Calibri" w:hAnsi="Garamond" w:cs="Times New Roman"/>
              </w:rPr>
              <w:t>ok</w:t>
            </w:r>
            <w:r w:rsidR="00FB5735" w:rsidRPr="00911049">
              <w:rPr>
                <w:rFonts w:ascii="Garamond" w:eastAsia="Calibri" w:hAnsi="Garamond" w:cs="Times New Roman"/>
              </w:rPr>
              <w:t xml:space="preserve">iratot </w:t>
            </w:r>
            <w:r w:rsidR="00CF72D4" w:rsidRPr="00911049">
              <w:rPr>
                <w:rFonts w:ascii="Garamond" w:eastAsia="Calibri" w:hAnsi="Garamond" w:cs="Times New Roman"/>
              </w:rPr>
              <w:t>(cégek esetében e-aktában)</w:t>
            </w:r>
            <w:r w:rsidR="002E3E98" w:rsidRPr="00911049">
              <w:rPr>
                <w:rFonts w:ascii="Garamond" w:eastAsia="Calibri" w:hAnsi="Garamond" w:cs="Times New Roman"/>
              </w:rPr>
              <w:t>.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</w:t>
            </w:r>
            <w:r w:rsidR="003B7603" w:rsidRPr="00911049">
              <w:rPr>
                <w:rFonts w:ascii="Garamond" w:eastAsia="Calibri" w:hAnsi="Garamond" w:cs="Times New Roman"/>
              </w:rPr>
              <w:t>Az igénybevevő tudomásul veszi, hogy a szerződés aláírását követően köteles minden, az igénybevevő cégben vagy szervezetben bekövetkező módosítást - annak bejegyzését követő 8 napon belül - bejelenteni a szolgáltatónak, és az ahhoz kapcsolódó okiratokat a fent írtak szerint a szolgáltatónak eljuttatni abból a célból, hogy egy esetleges hatósági ellenőrzés során a szolgáltató bemutathassa, hogy a székhelyen rendelkezésre állnak az igénybevevő cég iratai. Az igénybevevő tudomásul veszi, hogy a bejelentés és iratküldés elmulasztásából vagy az iratok hiányos átadásából eredő minden felelősség az igénybevevőt terheli.</w:t>
            </w:r>
          </w:p>
          <w:p w14:paraId="7272E471" w14:textId="77777777" w:rsidR="00CE49C4" w:rsidRPr="00911049" w:rsidRDefault="00CE49C4" w:rsidP="0063189A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igénybevevő a szerződés alapján, annak időtartama alatt az ingatlant székhelyként/telephelyként/fióktelepként vagy egyébként értesítési címként használhatja, azonban nem jelölheti meg a NAV által kért </w:t>
            </w:r>
            <w:r w:rsidRPr="00911049">
              <w:rPr>
                <w:rFonts w:ascii="Garamond" w:eastAsia="Calibri" w:hAnsi="Garamond" w:cs="Times New Roman"/>
                <w:u w:val="single"/>
              </w:rPr>
              <w:t>iratőrzési hely</w:t>
            </w:r>
            <w:r w:rsidRPr="00911049">
              <w:rPr>
                <w:rFonts w:ascii="Garamond" w:eastAsia="Calibri" w:hAnsi="Garamond" w:cs="Times New Roman"/>
              </w:rPr>
              <w:t xml:space="preserve">ként. </w:t>
            </w:r>
          </w:p>
          <w:p w14:paraId="3CB2C461" w14:textId="77777777" w:rsidR="00883F3D" w:rsidRPr="00911049" w:rsidRDefault="00883F3D" w:rsidP="0063189A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Amennyiben azt az igénybevevő tevékenysége és ügyfélforgalma indokolja, köteles </w:t>
            </w:r>
            <w:r w:rsidRPr="00911049">
              <w:rPr>
                <w:rFonts w:ascii="Garamond" w:eastAsia="Calibri" w:hAnsi="Garamond" w:cs="Times New Roman"/>
                <w:u w:val="single"/>
              </w:rPr>
              <w:t>tájékoztatni a saját ügyfeleit</w:t>
            </w:r>
            <w:r w:rsidRPr="00911049">
              <w:rPr>
                <w:rFonts w:ascii="Garamond" w:eastAsia="Calibri" w:hAnsi="Garamond" w:cs="Times New Roman"/>
              </w:rPr>
              <w:t xml:space="preserve"> és partnereit, hogy a szolgáltató a szerződésben és a jelen ÁSZF-ben foglalt szolgáltatásokon felül egyéb szolgáltatást nem nyújt, így például csomagküldeményeket nem vesz át (kivéve, ha ebben a felek külön megállapodtak), ügyfélszolgálatként nem üzemel. Ezen tájékoztatás elmaradásából eredő minden a szolgáltatót, a szolgáltató egyéb ügyfeleit és partnereit vagy más harmadik személyeket ért minden kárért az igénybevevő felelősséggel tartozik.</w:t>
            </w:r>
          </w:p>
          <w:p w14:paraId="3124847F" w14:textId="77777777" w:rsidR="0063189A" w:rsidRPr="00911049" w:rsidRDefault="0063189A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>Az igénybevevő és annak képviselője mulasztásából, tevékenységéből, ügyviteléből, szerződésszegéséből, így különösen valamely küldemény</w:t>
            </w:r>
            <w:r w:rsidR="00F76C59" w:rsidRPr="00911049">
              <w:rPr>
                <w:rFonts w:ascii="Garamond" w:eastAsia="Calibri" w:hAnsi="Garamond" w:cs="Times New Roman"/>
              </w:rPr>
              <w:t xml:space="preserve">nek az igénybevevő érdekkörében felmerült mulasztás miatti </w:t>
            </w:r>
            <w:r w:rsidRPr="00911049">
              <w:rPr>
                <w:rFonts w:ascii="Garamond" w:eastAsia="Calibri" w:hAnsi="Garamond" w:cs="Times New Roman"/>
              </w:rPr>
              <w:t>késedelmes átvételéből eredő felelősség az igénybevevőt terheli</w:t>
            </w:r>
            <w:r w:rsidR="00F76C59" w:rsidRPr="00911049">
              <w:rPr>
                <w:rFonts w:ascii="Garamond" w:eastAsia="Calibri" w:hAnsi="Garamond" w:cs="Times New Roman"/>
              </w:rPr>
              <w:t>,</w:t>
            </w:r>
            <w:r w:rsidRPr="00911049">
              <w:rPr>
                <w:rFonts w:ascii="Garamond" w:eastAsia="Calibri" w:hAnsi="Garamond" w:cs="Times New Roman"/>
              </w:rPr>
              <w:t xml:space="preserve"> és az emiatt bekövetkező kárt is </w:t>
            </w:r>
            <w:r w:rsidR="00F76C59" w:rsidRPr="00911049">
              <w:rPr>
                <w:rFonts w:ascii="Garamond" w:eastAsia="Calibri" w:hAnsi="Garamond" w:cs="Times New Roman"/>
              </w:rPr>
              <w:t>az igénybevevő</w:t>
            </w:r>
            <w:r w:rsidRPr="00911049">
              <w:rPr>
                <w:rFonts w:ascii="Garamond" w:eastAsia="Calibri" w:hAnsi="Garamond" w:cs="Times New Roman"/>
              </w:rPr>
              <w:t xml:space="preserve"> köteles viselni.</w:t>
            </w:r>
          </w:p>
          <w:p w14:paraId="60FBCC02" w14:textId="77777777" w:rsidR="006E7B43" w:rsidRPr="00911049" w:rsidRDefault="006E7B43" w:rsidP="00883F3D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</w:rPr>
            </w:pPr>
          </w:p>
          <w:p w14:paraId="36CE5AB2" w14:textId="77777777" w:rsidR="00167B0F" w:rsidRPr="00911049" w:rsidRDefault="00167B0F" w:rsidP="00F76C59">
            <w:pPr>
              <w:numPr>
                <w:ilvl w:val="0"/>
                <w:numId w:val="2"/>
              </w:numPr>
              <w:spacing w:after="120"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A szolgáltatási díj</w:t>
            </w:r>
          </w:p>
          <w:p w14:paraId="257A1CB5" w14:textId="77777777" w:rsidR="00162EFF" w:rsidRPr="00911049" w:rsidRDefault="00AA18FD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igénybevevő a szerződésben körülírt székhelyszolgáltatásért szolgáltatási díjat (a továbbiakban: </w:t>
            </w:r>
            <w:r w:rsidRPr="00911049">
              <w:rPr>
                <w:rFonts w:ascii="Garamond" w:eastAsia="Calibri" w:hAnsi="Garamond" w:cs="Times New Roman"/>
                <w:b/>
              </w:rPr>
              <w:t>szolgáltatási díj</w:t>
            </w:r>
            <w:r w:rsidRPr="00911049">
              <w:rPr>
                <w:rFonts w:ascii="Garamond" w:eastAsia="Calibri" w:hAnsi="Garamond" w:cs="Times New Roman"/>
              </w:rPr>
              <w:t>) köteles fizetni a szolgáltató részére, melynek összege és fizetési üteme a</w:t>
            </w:r>
            <w:r w:rsidR="00782A7D" w:rsidRPr="00911049">
              <w:rPr>
                <w:rFonts w:ascii="Garamond" w:eastAsia="Calibri" w:hAnsi="Garamond" w:cs="Times New Roman"/>
              </w:rPr>
              <w:t>z</w:t>
            </w:r>
            <w:r w:rsidRPr="00911049">
              <w:rPr>
                <w:rFonts w:ascii="Garamond" w:eastAsia="Calibri" w:hAnsi="Garamond" w:cs="Times New Roman"/>
              </w:rPr>
              <w:t xml:space="preserve"> Ügyfél Adatlap alapján történik. Az igénybevevő a szolgáltatási díjat évente előre</w:t>
            </w:r>
            <w:r w:rsidR="00782A7D" w:rsidRPr="00911049">
              <w:rPr>
                <w:rFonts w:ascii="Garamond" w:eastAsia="Calibri" w:hAnsi="Garamond" w:cs="Times New Roman"/>
              </w:rPr>
              <w:t>, a szolgáltató bankszámlájára történő átutalás útján</w:t>
            </w:r>
            <w:r w:rsidRPr="00911049">
              <w:rPr>
                <w:rFonts w:ascii="Garamond" w:eastAsia="Calibri" w:hAnsi="Garamond" w:cs="Times New Roman"/>
              </w:rPr>
              <w:t xml:space="preserve">, az adott hónapban addig a napig köteles megfizetni a szolgáltató részére, amely nap a szerződés megkötésének dátuma alapján fordulónapnak tekinthető (a szerződéskötés napja). Az első </w:t>
            </w:r>
            <w:r w:rsidR="00C26B78" w:rsidRPr="00911049">
              <w:rPr>
                <w:rFonts w:ascii="Garamond" w:eastAsia="Calibri" w:hAnsi="Garamond" w:cs="Times New Roman"/>
              </w:rPr>
              <w:t>évre</w:t>
            </w:r>
            <w:r w:rsidRPr="00911049">
              <w:rPr>
                <w:rFonts w:ascii="Garamond" w:eastAsia="Calibri" w:hAnsi="Garamond" w:cs="Times New Roman"/>
              </w:rPr>
              <w:t xml:space="preserve"> vonatkozó szolgáltatási díj a szerződés megkötésekor esedékes. A szolgáltató a szolgáltatási díjról kiállított számláját átutalás esetén a fizetési határidőt megelőzően juttatja el postai úton vagy e-mailen (az igénybevevő elérhetőségétől függően), készpénzes fizetés esetén pedig azt a teljesítéssel egyidejűleg adja át az igénybevevő részére. </w:t>
            </w:r>
          </w:p>
          <w:p w14:paraId="58AC0E84" w14:textId="77777777" w:rsidR="00AA18FD" w:rsidRPr="00911049" w:rsidRDefault="00AA18FD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lastRenderedPageBreak/>
              <w:t xml:space="preserve">Amennyiben az igénybevevő a szolgáltatási díj megfizetésével </w:t>
            </w:r>
            <w:r w:rsidRPr="00911049">
              <w:rPr>
                <w:rFonts w:ascii="Garamond" w:eastAsia="Calibri" w:hAnsi="Garamond" w:cs="Times New Roman"/>
                <w:u w:val="single"/>
              </w:rPr>
              <w:t>késedelembe esik</w:t>
            </w:r>
            <w:r w:rsidRPr="00911049">
              <w:rPr>
                <w:rFonts w:ascii="Garamond" w:eastAsia="Calibri" w:hAnsi="Garamond" w:cs="Times New Roman"/>
              </w:rPr>
              <w:t>, a Ptk. szerinti késedelmi kamat megfizetésére köteles.</w:t>
            </w:r>
          </w:p>
          <w:p w14:paraId="5BB5B1B9" w14:textId="77777777" w:rsidR="003B7603" w:rsidRPr="00911049" w:rsidRDefault="00AA18FD" w:rsidP="00F76C59">
            <w:pPr>
              <w:numPr>
                <w:ilvl w:val="1"/>
                <w:numId w:val="2"/>
              </w:num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Ha az igénybevevő a fizetési határidőt </w:t>
            </w:r>
            <w:r w:rsidRPr="00911049">
              <w:rPr>
                <w:rFonts w:ascii="Garamond" w:eastAsia="Calibri" w:hAnsi="Garamond" w:cs="Times New Roman"/>
                <w:u w:val="single"/>
              </w:rPr>
              <w:t>8 nappal elmulasztja</w:t>
            </w:r>
            <w:r w:rsidRPr="00911049">
              <w:rPr>
                <w:rFonts w:ascii="Garamond" w:eastAsia="Calibri" w:hAnsi="Garamond" w:cs="Times New Roman"/>
              </w:rPr>
              <w:t>, a szolgáltató csak a szolgáltatás</w:t>
            </w:r>
            <w:r w:rsidR="00782A7D" w:rsidRPr="00911049">
              <w:rPr>
                <w:rFonts w:ascii="Garamond" w:eastAsia="Calibri" w:hAnsi="Garamond" w:cs="Times New Roman"/>
              </w:rPr>
              <w:t>i alapcsomagot (csomagokat lásd a www.cass.hu honlapon)</w:t>
            </w:r>
            <w:r w:rsidRPr="00911049">
              <w:rPr>
                <w:rFonts w:ascii="Garamond" w:eastAsia="Calibri" w:hAnsi="Garamond" w:cs="Times New Roman"/>
              </w:rPr>
              <w:t xml:space="preserve"> köteles nyújtani. Ebben az esetben a szolgáltató csak a székhelyet biztosítja, és a beérkező postai </w:t>
            </w:r>
            <w:r w:rsidR="00782A7D" w:rsidRPr="00911049">
              <w:rPr>
                <w:rFonts w:ascii="Garamond" w:eastAsia="Calibri" w:hAnsi="Garamond" w:cs="Times New Roman"/>
              </w:rPr>
              <w:t>levél</w:t>
            </w:r>
            <w:r w:rsidRPr="00911049">
              <w:rPr>
                <w:rFonts w:ascii="Garamond" w:eastAsia="Calibri" w:hAnsi="Garamond" w:cs="Times New Roman"/>
              </w:rPr>
              <w:t>küldeményeket veszi át</w:t>
            </w:r>
            <w:r w:rsidR="00FB5735" w:rsidRPr="00911049">
              <w:rPr>
                <w:rFonts w:ascii="Garamond" w:eastAsia="Calibri" w:hAnsi="Garamond" w:cs="Times New Roman"/>
              </w:rPr>
              <w:t>.</w:t>
            </w:r>
          </w:p>
          <w:p w14:paraId="646FE2E4" w14:textId="77777777" w:rsidR="001764F6" w:rsidRPr="00911049" w:rsidRDefault="001764F6" w:rsidP="001764F6">
            <w:pPr>
              <w:spacing w:after="120" w:line="240" w:lineRule="auto"/>
              <w:ind w:left="365"/>
              <w:jc w:val="both"/>
              <w:rPr>
                <w:rFonts w:ascii="Garamond" w:eastAsia="Calibri" w:hAnsi="Garamond" w:cs="Times New Roman"/>
                <w:b/>
              </w:rPr>
            </w:pPr>
          </w:p>
          <w:p w14:paraId="3360391E" w14:textId="77777777" w:rsidR="0097173C" w:rsidRPr="00911049" w:rsidRDefault="0097173C" w:rsidP="00F76C59">
            <w:pPr>
              <w:numPr>
                <w:ilvl w:val="0"/>
                <w:numId w:val="2"/>
              </w:numPr>
              <w:spacing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t>A szerződés időtartama</w:t>
            </w:r>
            <w:r w:rsidR="007D0032" w:rsidRPr="00911049">
              <w:rPr>
                <w:rFonts w:ascii="Garamond" w:eastAsia="Calibri" w:hAnsi="Garamond" w:cs="Times New Roman"/>
                <w:b/>
              </w:rPr>
              <w:t>, felmondása</w:t>
            </w:r>
          </w:p>
          <w:p w14:paraId="0D7C0A25" w14:textId="77777777" w:rsidR="0097173C" w:rsidRPr="00911049" w:rsidRDefault="0097173C" w:rsidP="00F76C59">
            <w:pPr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szerződés határozatlan időtartamra jön létre</w:t>
            </w:r>
            <w:r w:rsidRPr="00911049">
              <w:rPr>
                <w:rFonts w:ascii="Garamond" w:eastAsia="Calibri" w:hAnsi="Garamond" w:cs="Times New Roman"/>
              </w:rPr>
              <w:t xml:space="preserve">. </w:t>
            </w:r>
          </w:p>
          <w:p w14:paraId="6A9DE38A" w14:textId="77777777" w:rsidR="00AA18FD" w:rsidRPr="00911049" w:rsidRDefault="0097173C" w:rsidP="00F76C59">
            <w:pPr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szerződéskötést követő egy éven belül a felek a </w:t>
            </w:r>
            <w:r w:rsidRPr="00911049">
              <w:rPr>
                <w:rFonts w:ascii="Garamond" w:eastAsia="Calibri" w:hAnsi="Garamond" w:cs="Times New Roman"/>
                <w:u w:val="single"/>
              </w:rPr>
              <w:t>rendes felmondás</w:t>
            </w:r>
            <w:r w:rsidRPr="00911049">
              <w:rPr>
                <w:rFonts w:ascii="Garamond" w:eastAsia="Calibri" w:hAnsi="Garamond" w:cs="Times New Roman"/>
              </w:rPr>
              <w:t xml:space="preserve"> jogát az IM rendeletek erejénél fogva nem gyakorolhatják. A</w:t>
            </w:r>
            <w:r w:rsidR="004C463C" w:rsidRPr="00911049">
              <w:rPr>
                <w:rFonts w:ascii="Garamond" w:eastAsia="Calibri" w:hAnsi="Garamond" w:cs="Times New Roman"/>
              </w:rPr>
              <w:t xml:space="preserve"> szerződéskötést követő egy éven túl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</w:t>
            </w:r>
            <w:r w:rsidRPr="00911049">
              <w:rPr>
                <w:rFonts w:ascii="Garamond" w:eastAsia="Calibri" w:hAnsi="Garamond" w:cs="Times New Roman"/>
              </w:rPr>
              <w:t xml:space="preserve">az igénybevevő bármikor jogosult a szerződést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indokolás nélkül </w:t>
            </w:r>
            <w:r w:rsidRPr="00911049">
              <w:rPr>
                <w:rFonts w:ascii="Garamond" w:eastAsia="Calibri" w:hAnsi="Garamond" w:cs="Times New Roman"/>
              </w:rPr>
              <w:t xml:space="preserve">azonnali hatállyal vagy meghatározott felmondási idővel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felmondani, felmondása azonban nem keletkeztet visszafizetési kötelezettséget az előzetesen már megfizetett szolgáltatási díj tekintetében, azt jogosult a szolgáltató bánatpénzként megtartani. A szolgáltató az előre megfizetett szolgáltatási időszak lejártát megelőzően 30 nappal jogosult a szerződést </w:t>
            </w:r>
            <w:r w:rsidRPr="00911049">
              <w:rPr>
                <w:rFonts w:ascii="Garamond" w:eastAsia="Calibri" w:hAnsi="Garamond" w:cs="Times New Roman"/>
              </w:rPr>
              <w:t xml:space="preserve">30 napos felmondási idővel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felmondani. </w:t>
            </w:r>
          </w:p>
          <w:p w14:paraId="462F0484" w14:textId="77777777" w:rsidR="007D0032" w:rsidRPr="00911049" w:rsidRDefault="007D0032" w:rsidP="00F76C59">
            <w:pPr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felek </w:t>
            </w:r>
            <w:r w:rsidR="00CE0DB3" w:rsidRPr="00911049">
              <w:rPr>
                <w:rFonts w:ascii="Garamond" w:eastAsia="Calibri" w:hAnsi="Garamond" w:cs="Times New Roman"/>
              </w:rPr>
              <w:t>jogosult</w:t>
            </w:r>
            <w:r w:rsidRPr="00911049">
              <w:rPr>
                <w:rFonts w:ascii="Garamond" w:eastAsia="Calibri" w:hAnsi="Garamond" w:cs="Times New Roman"/>
              </w:rPr>
              <w:t>ak</w:t>
            </w:r>
            <w:r w:rsidR="00CE0DB3" w:rsidRPr="00911049">
              <w:rPr>
                <w:rFonts w:ascii="Garamond" w:eastAsia="Calibri" w:hAnsi="Garamond" w:cs="Times New Roman"/>
              </w:rPr>
              <w:t xml:space="preserve"> </w:t>
            </w: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CE0DB3" w:rsidRPr="00911049">
              <w:rPr>
                <w:rFonts w:ascii="Garamond" w:eastAsia="Calibri" w:hAnsi="Garamond" w:cs="Times New Roman"/>
              </w:rPr>
              <w:t xml:space="preserve">szerződést </w:t>
            </w:r>
            <w:r w:rsidR="00CE0DB3" w:rsidRPr="00911049">
              <w:rPr>
                <w:rFonts w:ascii="Garamond" w:eastAsia="Calibri" w:hAnsi="Garamond" w:cs="Times New Roman"/>
                <w:u w:val="single"/>
              </w:rPr>
              <w:t>rendkívüli felmondás</w:t>
            </w:r>
            <w:r w:rsidR="00CE0DB3" w:rsidRPr="00911049">
              <w:rPr>
                <w:rFonts w:ascii="Garamond" w:eastAsia="Calibri" w:hAnsi="Garamond" w:cs="Times New Roman"/>
              </w:rPr>
              <w:t xml:space="preserve">sal megszüntetni amennyiben a </w:t>
            </w:r>
            <w:r w:rsidRPr="00911049">
              <w:rPr>
                <w:rFonts w:ascii="Garamond" w:eastAsia="Calibri" w:hAnsi="Garamond" w:cs="Times New Roman"/>
              </w:rPr>
              <w:t xml:space="preserve">másik fél a jogszabályokból, </w:t>
            </w:r>
            <w:r w:rsidR="00CE0DB3" w:rsidRPr="00911049">
              <w:rPr>
                <w:rFonts w:ascii="Garamond" w:eastAsia="Calibri" w:hAnsi="Garamond" w:cs="Times New Roman"/>
              </w:rPr>
              <w:t xml:space="preserve">a szerződésből </w:t>
            </w:r>
            <w:r w:rsidRPr="00911049">
              <w:rPr>
                <w:rFonts w:ascii="Garamond" w:eastAsia="Calibri" w:hAnsi="Garamond" w:cs="Times New Roman"/>
              </w:rPr>
              <w:t xml:space="preserve">vagy a jelen ÁSZF-ből eredő </w:t>
            </w:r>
            <w:r w:rsidR="00CE0DB3" w:rsidRPr="00911049">
              <w:rPr>
                <w:rFonts w:ascii="Garamond" w:eastAsia="Calibri" w:hAnsi="Garamond" w:cs="Times New Roman"/>
              </w:rPr>
              <w:t xml:space="preserve">lényeges kötelezettségét súlyosan megszegi. </w:t>
            </w:r>
          </w:p>
          <w:p w14:paraId="14CD1E90" w14:textId="77777777" w:rsidR="007D0032" w:rsidRPr="00911049" w:rsidRDefault="007D0032" w:rsidP="00F76C59">
            <w:pPr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felek a </w:t>
            </w:r>
            <w:r w:rsidRPr="00911049">
              <w:rPr>
                <w:rFonts w:ascii="Garamond" w:eastAsia="Calibri" w:hAnsi="Garamond" w:cs="Times New Roman"/>
                <w:u w:val="single"/>
              </w:rPr>
              <w:t>szolgáltató súlyos szerződésszegésé</w:t>
            </w:r>
            <w:r w:rsidRPr="00911049">
              <w:rPr>
                <w:rFonts w:ascii="Garamond" w:eastAsia="Calibri" w:hAnsi="Garamond" w:cs="Times New Roman"/>
              </w:rPr>
              <w:t xml:space="preserve">nek tekintik, amely miatt az igénybevevő rendkívüli felmondásra jogosult, ha a szolgáltató: </w:t>
            </w:r>
          </w:p>
          <w:p w14:paraId="1C1A2F4A" w14:textId="77777777" w:rsidR="007D0032" w:rsidRPr="00911049" w:rsidRDefault="007D0032" w:rsidP="00F76C59">
            <w:pPr>
              <w:pStyle w:val="Listaszerbekezds"/>
              <w:numPr>
                <w:ilvl w:val="0"/>
                <w:numId w:val="11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igénybevevő írásbeli kérését követő 3 munkanapon belül sem adja ki a székhelyre befogadó </w:t>
            </w:r>
            <w:r w:rsidR="00877573" w:rsidRPr="00911049">
              <w:rPr>
                <w:rFonts w:ascii="Garamond" w:eastAsia="Calibri" w:hAnsi="Garamond" w:cs="Times New Roman"/>
              </w:rPr>
              <w:t>nyilatkozatot, amely az igénybevevő új székhelyének cégbírósági vagy hatósági nyilvántartásba vételéhez szükséges, annak ellenére, hogy az igénybevevő a szolgáltatási díjat kifizette, és a szükséges adatokat szolgáltatta;</w:t>
            </w:r>
          </w:p>
          <w:p w14:paraId="3394ED78" w14:textId="77777777" w:rsidR="007D0032" w:rsidRPr="00911049" w:rsidRDefault="007D0032" w:rsidP="00F76C59">
            <w:pPr>
              <w:pStyle w:val="Listaszerbekezds"/>
              <w:numPr>
                <w:ilvl w:val="0"/>
                <w:numId w:val="11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az igénybevevőnek érkezett regisztrált levélpostai küldeményt saját érdekkörében felmerülő okból ismételten nem veszi át, és az nem kereste vagy a címzett ismeretlen jelzéssel érkezik vissza a feladóhoz</w:t>
            </w:r>
            <w:r w:rsidR="00877573" w:rsidRPr="00911049">
              <w:rPr>
                <w:rFonts w:ascii="Garamond" w:eastAsia="Calibri" w:hAnsi="Garamond" w:cs="Times New Roman"/>
              </w:rPr>
              <w:t>;</w:t>
            </w:r>
          </w:p>
          <w:p w14:paraId="7366E849" w14:textId="77777777" w:rsidR="00877573" w:rsidRPr="00911049" w:rsidRDefault="00877573" w:rsidP="00F76C59">
            <w:pPr>
              <w:pStyle w:val="Listaszerbekezds"/>
              <w:numPr>
                <w:ilvl w:val="0"/>
                <w:numId w:val="11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az igénybevevő névtábláját</w:t>
            </w:r>
            <w:r w:rsidR="00F76C59" w:rsidRPr="00911049">
              <w:rPr>
                <w:rFonts w:ascii="Garamond" w:eastAsia="Calibri" w:hAnsi="Garamond" w:cs="Times New Roman"/>
              </w:rPr>
              <w:t xml:space="preserve"> a székhely bejegyzését követően,</w:t>
            </w:r>
            <w:r w:rsidRPr="00911049">
              <w:rPr>
                <w:rFonts w:ascii="Garamond" w:eastAsia="Calibri" w:hAnsi="Garamond" w:cs="Times New Roman"/>
              </w:rPr>
              <w:t xml:space="preserve"> felszólítás ellenére sem helyezi el az ingatlanon. </w:t>
            </w:r>
          </w:p>
          <w:p w14:paraId="4DEA349A" w14:textId="77777777" w:rsidR="001764F6" w:rsidRPr="00911049" w:rsidRDefault="001764F6" w:rsidP="001764F6">
            <w:p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Ebben az esetben a szolgáltató a felmondást követő szolgáltatási időszakra előre megfizetett szolgáltatási díjat az igénybevevőnek visszatéríti.</w:t>
            </w:r>
          </w:p>
          <w:p w14:paraId="2CF0C9FE" w14:textId="77777777" w:rsidR="00877573" w:rsidRPr="00911049" w:rsidRDefault="00877573" w:rsidP="00F76C59">
            <w:pPr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felek az </w:t>
            </w:r>
            <w:r w:rsidRPr="00911049">
              <w:rPr>
                <w:rFonts w:ascii="Garamond" w:eastAsia="Calibri" w:hAnsi="Garamond" w:cs="Times New Roman"/>
                <w:u w:val="single"/>
              </w:rPr>
              <w:t>igénybevevő súlyos szerződésszegésé</w:t>
            </w:r>
            <w:r w:rsidRPr="00911049">
              <w:rPr>
                <w:rFonts w:ascii="Garamond" w:eastAsia="Calibri" w:hAnsi="Garamond" w:cs="Times New Roman"/>
              </w:rPr>
              <w:t xml:space="preserve">nek tekintik, amely miatt a szolgáltató rendkívüli felmondásra jogosult, ha az igénybevevő: </w:t>
            </w:r>
          </w:p>
          <w:p w14:paraId="2C81EB25" w14:textId="77777777" w:rsidR="00877573" w:rsidRPr="00911049" w:rsidRDefault="00877573" w:rsidP="00F76C59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ellen csőd-, felszámolási, végelszámolási, végrehajtási, kényszertörlési vagy más hasonló hatósági vagy bírósági eljárás indul; </w:t>
            </w:r>
          </w:p>
          <w:p w14:paraId="0F26A411" w14:textId="77777777" w:rsidR="00B04791" w:rsidRPr="00911049" w:rsidRDefault="00B04791" w:rsidP="00F76C59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az 1.2. pontban írt egyéb feltételeket megsérti;</w:t>
            </w:r>
          </w:p>
          <w:p w14:paraId="5870C770" w14:textId="77777777" w:rsidR="00B04791" w:rsidRPr="00911049" w:rsidRDefault="00B04791" w:rsidP="00F76C59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 szolgáltatási díjra vonatkozó fizetési határidőt 15 nappal elmulasztja, és a fizetési kötelezettségének felszólítás ellenére sem tesz eleget;</w:t>
            </w:r>
          </w:p>
          <w:p w14:paraId="799FF46B" w14:textId="77777777" w:rsidR="00B04791" w:rsidRPr="00911049" w:rsidRDefault="00877573" w:rsidP="00F76C59">
            <w:pPr>
              <w:pStyle w:val="Listaszerbekezds"/>
              <w:numPr>
                <w:ilvl w:val="0"/>
                <w:numId w:val="12"/>
              </w:numPr>
              <w:spacing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megszegi a jelen </w:t>
            </w:r>
            <w:r w:rsidR="00B04791" w:rsidRPr="00911049">
              <w:rPr>
                <w:rFonts w:ascii="Garamond" w:eastAsia="Calibri" w:hAnsi="Garamond" w:cs="Times New Roman"/>
              </w:rPr>
              <w:t>ÁSZF 4.</w:t>
            </w:r>
            <w:r w:rsidRPr="00911049">
              <w:rPr>
                <w:rFonts w:ascii="Garamond" w:eastAsia="Calibri" w:hAnsi="Garamond" w:cs="Times New Roman"/>
              </w:rPr>
              <w:t xml:space="preserve"> pontjában foglalt</w:t>
            </w:r>
            <w:r w:rsidR="00006C05" w:rsidRPr="00911049">
              <w:rPr>
                <w:rFonts w:ascii="Garamond" w:eastAsia="Calibri" w:hAnsi="Garamond" w:cs="Times New Roman"/>
              </w:rPr>
              <w:t xml:space="preserve"> </w:t>
            </w:r>
            <w:r w:rsidRPr="00911049">
              <w:rPr>
                <w:rFonts w:ascii="Garamond" w:eastAsia="Calibri" w:hAnsi="Garamond" w:cs="Times New Roman"/>
              </w:rPr>
              <w:t>kötelezettség</w:t>
            </w:r>
            <w:r w:rsidR="00006C05" w:rsidRPr="00911049">
              <w:rPr>
                <w:rFonts w:ascii="Garamond" w:eastAsia="Calibri" w:hAnsi="Garamond" w:cs="Times New Roman"/>
              </w:rPr>
              <w:t>ei bármelyikét</w:t>
            </w:r>
            <w:r w:rsidR="001764F6" w:rsidRPr="00911049">
              <w:rPr>
                <w:rFonts w:ascii="Garamond" w:eastAsia="Calibri" w:hAnsi="Garamond" w:cs="Times New Roman"/>
              </w:rPr>
              <w:t>.</w:t>
            </w:r>
          </w:p>
          <w:p w14:paraId="087099D2" w14:textId="77777777" w:rsidR="00877573" w:rsidRDefault="00877573" w:rsidP="00877573">
            <w:pPr>
              <w:spacing w:line="240" w:lineRule="auto"/>
              <w:ind w:left="357"/>
              <w:jc w:val="both"/>
              <w:rPr>
                <w:rFonts w:ascii="Garamond" w:eastAsia="Calibri" w:hAnsi="Garamond" w:cs="Times New Roman"/>
                <w:bCs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 ily módon történő megszüntetése esetén a </w:t>
            </w:r>
            <w:r w:rsidRPr="00911049">
              <w:rPr>
                <w:rFonts w:ascii="Garamond" w:eastAsia="Calibri" w:hAnsi="Garamond" w:cs="Times New Roman"/>
                <w:bCs/>
              </w:rPr>
              <w:t>kifizetett szolgáltatási díj a szolgáltatót illeti, és mint meghiúsulási kötbért jogosult azt megtartani.</w:t>
            </w:r>
          </w:p>
          <w:p w14:paraId="62C9C4F6" w14:textId="77777777" w:rsidR="00BC199B" w:rsidRDefault="00BC199B" w:rsidP="00877573">
            <w:pPr>
              <w:spacing w:line="240" w:lineRule="auto"/>
              <w:ind w:left="357"/>
              <w:jc w:val="both"/>
              <w:rPr>
                <w:rFonts w:ascii="Garamond" w:eastAsia="Calibri" w:hAnsi="Garamond" w:cs="Times New Roman"/>
                <w:bCs/>
              </w:rPr>
            </w:pPr>
          </w:p>
          <w:p w14:paraId="7195E9A1" w14:textId="77777777" w:rsidR="00BC199B" w:rsidRPr="00911049" w:rsidRDefault="00BC199B" w:rsidP="00877573">
            <w:pPr>
              <w:spacing w:line="240" w:lineRule="auto"/>
              <w:ind w:left="357"/>
              <w:jc w:val="both"/>
              <w:rPr>
                <w:rFonts w:ascii="Garamond" w:eastAsia="Calibri" w:hAnsi="Garamond" w:cs="Times New Roman"/>
                <w:bCs/>
              </w:rPr>
            </w:pPr>
          </w:p>
          <w:p w14:paraId="1F30C4A5" w14:textId="77777777" w:rsidR="00006C05" w:rsidRPr="00911049" w:rsidRDefault="005679DF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lastRenderedPageBreak/>
              <w:t>A rendkívüli felmondás a másik fél általi átvétellel válik hatályossá, ami a szerződést azonnali hatállyal szünteti meg. A szolgáltató által az igénybevevő Ügyfél Adatlapon meghatározott értesítési címére vagy az igénybevevő ügyvezetőjének rögzített lakcímére megküldött rendkívüli felmondás a feladástól számított 5. munkanapon az igénybevevő által átvettnek minősül. Ez a szabály a rendes felmondás kézbesítésére is irányadó. A felmondás az Ügyfél Adatlapon rögzített e-mail útján is közölhető</w:t>
            </w:r>
            <w:r w:rsidR="0063189A" w:rsidRPr="00911049">
              <w:rPr>
                <w:rFonts w:ascii="Garamond" w:eastAsia="Calibri" w:hAnsi="Garamond" w:cs="Times New Roman"/>
              </w:rPr>
              <w:t>, ebben az esetben az azonnal kézbesítettnek minősül</w:t>
            </w:r>
            <w:r w:rsidRPr="00911049">
              <w:rPr>
                <w:rFonts w:ascii="Garamond" w:eastAsia="Calibri" w:hAnsi="Garamond" w:cs="Times New Roman"/>
              </w:rPr>
              <w:t>. Külföldi bejelentett címmel rendelkező ügyvezető esetén, a cégnyilvántartás szerinti magyarországi kézbesítési megbízottnak is kézbesíthető a felmondás. Az esetleges - a szolgáltatónak be nem jelentett - címváltozásból eredő kézbesíthetetlenségért az igénybevevő felelős, és ez esetben a felmondás kézbesíthetetlensége nem érinti a fent írt kézbesítési vélelem beálltát.</w:t>
            </w:r>
          </w:p>
          <w:p w14:paraId="2CF4AADC" w14:textId="77777777" w:rsidR="00006C05" w:rsidRPr="00911049" w:rsidRDefault="00006C05" w:rsidP="00F76C59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414B8740" w14:textId="77777777" w:rsidR="00006C05" w:rsidRPr="00911049" w:rsidRDefault="00006C05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igénybevevő tudomásul veszi, hogy a szerződés megszűnését követően az ingatlant székhelyként/telephelyként/fióktelepként vagy egyébként értesítési címként nem használhatja, azt a továbbiakban harmadik személyek részére nem jogosult ilyen minőségben megadni, sem iratain feltüntetni. </w:t>
            </w:r>
          </w:p>
          <w:p w14:paraId="0990671D" w14:textId="77777777" w:rsidR="00006C05" w:rsidRPr="00911049" w:rsidRDefault="00006C05" w:rsidP="00F76C59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03D0743E" w14:textId="77777777" w:rsidR="0044651D" w:rsidRPr="00911049" w:rsidRDefault="00006C05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 megszűnését követően az igénybevevő haladéktalanul, de legkésőbb 10 naptári napon belül köteles székhelyének megváltoztatásáról tájékoztatni üzleti partnereit és valamennyi, a székhelyét nyilvántartó hivatalos szervet (KSH, NAV, Önkormányzat, stb.). Ennek elmaradása esetén a szolgáltató is jogosult a szükséges értesítéseket megtenni. Az igénybevevő köteles továbbá a szerződés megszűnésétől számított 10 naptári napon belül az illetékes cégbíróságnál </w:t>
            </w:r>
            <w:r w:rsidR="0044651D" w:rsidRPr="00911049">
              <w:rPr>
                <w:rFonts w:ascii="Garamond" w:eastAsia="Calibri" w:hAnsi="Garamond" w:cs="Times New Roman"/>
              </w:rPr>
              <w:t xml:space="preserve">vagy egyéb nyilvántartó hatóságánál </w:t>
            </w:r>
            <w:r w:rsidRPr="00911049">
              <w:rPr>
                <w:rFonts w:ascii="Garamond" w:eastAsia="Calibri" w:hAnsi="Garamond" w:cs="Times New Roman"/>
              </w:rPr>
              <w:t>kérelmet benyújtani a székhelyváltozás bejegyzése iránt, melyet köteles a szolgáltató felé írásban igazolni (</w:t>
            </w:r>
            <w:r w:rsidR="0044651D" w:rsidRPr="00911049">
              <w:rPr>
                <w:rFonts w:ascii="Garamond" w:eastAsia="Calibri" w:hAnsi="Garamond" w:cs="Times New Roman"/>
              </w:rPr>
              <w:t xml:space="preserve">az e-akta vagy </w:t>
            </w:r>
            <w:r w:rsidRPr="00911049">
              <w:rPr>
                <w:rFonts w:ascii="Garamond" w:eastAsia="Calibri" w:hAnsi="Garamond" w:cs="Times New Roman"/>
              </w:rPr>
              <w:t xml:space="preserve">a kérelem </w:t>
            </w:r>
            <w:r w:rsidR="0044651D" w:rsidRPr="00911049">
              <w:rPr>
                <w:rFonts w:ascii="Garamond" w:eastAsia="Calibri" w:hAnsi="Garamond" w:cs="Times New Roman"/>
              </w:rPr>
              <w:t xml:space="preserve">másolatának megküldésével). Köteles </w:t>
            </w:r>
            <w:r w:rsidRPr="00911049">
              <w:rPr>
                <w:rFonts w:ascii="Garamond" w:eastAsia="Calibri" w:hAnsi="Garamond" w:cs="Times New Roman"/>
              </w:rPr>
              <w:t xml:space="preserve">továbbá a szerződés megszűnésétől számított 30 naptári napon belül a székhelymódosítás bejegyzését a jogerős cégbírósági </w:t>
            </w:r>
            <w:r w:rsidR="0044651D" w:rsidRPr="00911049">
              <w:rPr>
                <w:rFonts w:ascii="Garamond" w:eastAsia="Calibri" w:hAnsi="Garamond" w:cs="Times New Roman"/>
              </w:rPr>
              <w:t xml:space="preserve">vagy más nyilvántartó hatósági </w:t>
            </w:r>
            <w:r w:rsidRPr="00911049">
              <w:rPr>
                <w:rFonts w:ascii="Garamond" w:eastAsia="Calibri" w:hAnsi="Garamond" w:cs="Times New Roman"/>
              </w:rPr>
              <w:t xml:space="preserve">végzés másolatának megküldésével igazolni </w:t>
            </w:r>
            <w:r w:rsidR="0044651D" w:rsidRPr="00911049">
              <w:rPr>
                <w:rFonts w:ascii="Garamond" w:eastAsia="Calibri" w:hAnsi="Garamond" w:cs="Times New Roman"/>
              </w:rPr>
              <w:t xml:space="preserve">a </w:t>
            </w:r>
            <w:r w:rsidRPr="00911049">
              <w:rPr>
                <w:rFonts w:ascii="Garamond" w:eastAsia="Calibri" w:hAnsi="Garamond" w:cs="Times New Roman"/>
              </w:rPr>
              <w:t xml:space="preserve">szolgáltató felé. </w:t>
            </w:r>
          </w:p>
          <w:p w14:paraId="6F08248B" w14:textId="77777777" w:rsidR="0044651D" w:rsidRPr="00911049" w:rsidRDefault="0044651D" w:rsidP="00F76C59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266EE747" w14:textId="77777777" w:rsidR="0044651D" w:rsidRPr="00911049" w:rsidRDefault="00006C05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 szerződés megszűnése esetén a szolgáltató az igénybevevő küldeményeit „ismeretlen helyre költözött” megjegyzéssel visszautasítja</w:t>
            </w:r>
            <w:r w:rsidR="000A460F" w:rsidRPr="00911049">
              <w:rPr>
                <w:rFonts w:ascii="Garamond" w:eastAsia="Calibri" w:hAnsi="Garamond" w:cs="Times New Roman"/>
              </w:rPr>
              <w:t>, és a cégtábláját leveszi az ingatlanról</w:t>
            </w:r>
            <w:r w:rsidRPr="00911049">
              <w:rPr>
                <w:rFonts w:ascii="Garamond" w:eastAsia="Calibri" w:hAnsi="Garamond" w:cs="Times New Roman"/>
              </w:rPr>
              <w:t>.</w:t>
            </w:r>
            <w:r w:rsidR="000A460F" w:rsidRPr="00911049">
              <w:rPr>
                <w:rFonts w:ascii="Garamond" w:eastAsia="Calibri" w:hAnsi="Garamond" w:cs="Times New Roman"/>
              </w:rPr>
              <w:t xml:space="preserve"> A szolgáltató ezúton is tájékoztatja az igénybevevőt, hogy a hatályos jogszabályok értelmében, ha a cég a székhelyén nem fellelhető, azaz nem jelzi cégtábla, a hivatalos leveleket nem veszi át, vagy helyszíni ellenőrzés során megállapítást nyer, hogy a székhelyen nem megtalálható, az az adószám felfüggesztését, majd törlését, kényszertörlési eljárást eredményez</w:t>
            </w:r>
            <w:r w:rsidR="00FA38F2" w:rsidRPr="00911049">
              <w:rPr>
                <w:rFonts w:ascii="Garamond" w:eastAsia="Calibri" w:hAnsi="Garamond" w:cs="Times New Roman"/>
              </w:rPr>
              <w:t>, és a vezető tisztségviselő büntetőjogi felelősségre vonásával is járhat (Btk. 409.§).</w:t>
            </w:r>
          </w:p>
          <w:p w14:paraId="07AB4F29" w14:textId="77777777" w:rsidR="0044651D" w:rsidRPr="00911049" w:rsidRDefault="0044651D" w:rsidP="0044651D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52088C7E" w14:textId="77777777" w:rsidR="00006C05" w:rsidRPr="00911049" w:rsidRDefault="00006C05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507" w:hanging="574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44651D" w:rsidRPr="00911049">
              <w:rPr>
                <w:rFonts w:ascii="Garamond" w:eastAsia="Calibri" w:hAnsi="Garamond" w:cs="Times New Roman"/>
              </w:rPr>
              <w:t>6.7.</w:t>
            </w:r>
            <w:r w:rsidR="00322D59">
              <w:rPr>
                <w:rFonts w:ascii="Garamond" w:eastAsia="Calibri" w:hAnsi="Garamond" w:cs="Times New Roman"/>
              </w:rPr>
              <w:t xml:space="preserve"> és a </w:t>
            </w:r>
            <w:r w:rsidR="0044651D" w:rsidRPr="00911049">
              <w:rPr>
                <w:rFonts w:ascii="Garamond" w:eastAsia="Calibri" w:hAnsi="Garamond" w:cs="Times New Roman"/>
              </w:rPr>
              <w:t>6.8.</w:t>
            </w:r>
            <w:r w:rsidRPr="00911049">
              <w:rPr>
                <w:rFonts w:ascii="Garamond" w:eastAsia="Calibri" w:hAnsi="Garamond" w:cs="Times New Roman"/>
              </w:rPr>
              <w:t xml:space="preserve"> pont</w:t>
            </w:r>
            <w:r w:rsidR="0044651D" w:rsidRPr="00911049">
              <w:rPr>
                <w:rFonts w:ascii="Garamond" w:eastAsia="Calibri" w:hAnsi="Garamond" w:cs="Times New Roman"/>
              </w:rPr>
              <w:t>ok</w:t>
            </w:r>
            <w:r w:rsidRPr="00911049">
              <w:rPr>
                <w:rFonts w:ascii="Garamond" w:eastAsia="Calibri" w:hAnsi="Garamond" w:cs="Times New Roman"/>
              </w:rPr>
              <w:t xml:space="preserve">ban foglalt kötelezettség elmulasztása esetén a szolgáltató késedelem nélkül tájékoztathatja az illetékes cégbíróságot, hogy a társaság ellen lefolytatható az ismeretlen székhelyű cég megszüntetésére irányuló eljárás (Cégtörvény 89-90.§), </w:t>
            </w:r>
            <w:r w:rsidR="009D4108" w:rsidRPr="00911049">
              <w:rPr>
                <w:rFonts w:ascii="Garamond" w:eastAsia="Calibri" w:hAnsi="Garamond" w:cs="Times New Roman"/>
              </w:rPr>
              <w:t xml:space="preserve">illetve </w:t>
            </w:r>
            <w:r w:rsidRPr="00911049">
              <w:rPr>
                <w:rFonts w:ascii="Garamond" w:eastAsia="Calibri" w:hAnsi="Garamond" w:cs="Times New Roman"/>
              </w:rPr>
              <w:t>törvényességi felügyeleti eljárás</w:t>
            </w:r>
            <w:r w:rsidR="009D4108" w:rsidRPr="00911049">
              <w:rPr>
                <w:rFonts w:ascii="Garamond" w:eastAsia="Calibri" w:hAnsi="Garamond" w:cs="Times New Roman"/>
              </w:rPr>
              <w:t>t kezdeményez az igénybevevővel szemben</w:t>
            </w:r>
            <w:r w:rsidRPr="00911049">
              <w:rPr>
                <w:rFonts w:ascii="Garamond" w:eastAsia="Calibri" w:hAnsi="Garamond" w:cs="Times New Roman"/>
              </w:rPr>
              <w:t>.</w:t>
            </w:r>
          </w:p>
          <w:p w14:paraId="2D02AB3F" w14:textId="77777777" w:rsidR="0044651D" w:rsidRPr="00911049" w:rsidRDefault="0044651D" w:rsidP="0044651D">
            <w:pPr>
              <w:pStyle w:val="Listaszerbekezds"/>
              <w:spacing w:line="240" w:lineRule="auto"/>
              <w:ind w:left="507"/>
              <w:jc w:val="both"/>
              <w:rPr>
                <w:rFonts w:ascii="Garamond" w:eastAsia="Calibri" w:hAnsi="Garamond" w:cs="Times New Roman"/>
              </w:rPr>
            </w:pPr>
          </w:p>
          <w:p w14:paraId="5A7051D3" w14:textId="77777777" w:rsidR="0063189A" w:rsidRPr="00911049" w:rsidRDefault="0044651D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507" w:hanging="567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Amennyiben a szerződés megszűnt, és az igénybevevő nem igazolja a megszűnést követő 30 napon belül, hogy a székhelyét módosította, és az bejegyzésre is került, az igénybevevő köteles a szolgáltató</w:t>
            </w:r>
            <w:r w:rsidR="009D4108" w:rsidRPr="00911049">
              <w:rPr>
                <w:rFonts w:ascii="Garamond" w:eastAsia="Calibri" w:hAnsi="Garamond" w:cs="Times New Roman"/>
              </w:rPr>
              <w:t xml:space="preserve"> részére egyszeri 200.000,- Ft (azaz kettőszázezer forint) összegű kötbért fizetni, amely kötbér megfizetéséért a szerződés illetve a jelen ÁSZF aláírásával az igénybevevő ügyvezetője készfizető kezességet vállal. A szolgáltató a fenti kötbért meghaladó kára érvényesítésére is jogosult. </w:t>
            </w:r>
          </w:p>
          <w:p w14:paraId="21FFDF80" w14:textId="77777777" w:rsidR="0063189A" w:rsidRPr="00911049" w:rsidRDefault="0063189A" w:rsidP="00F76C59">
            <w:pPr>
              <w:pStyle w:val="Listaszerbekezds"/>
              <w:spacing w:line="240" w:lineRule="auto"/>
              <w:ind w:left="507" w:hanging="567"/>
              <w:jc w:val="both"/>
              <w:rPr>
                <w:rFonts w:ascii="Garamond" w:eastAsia="Calibri" w:hAnsi="Garamond" w:cs="Times New Roman"/>
              </w:rPr>
            </w:pPr>
          </w:p>
          <w:p w14:paraId="702DEECA" w14:textId="77777777" w:rsidR="0063189A" w:rsidRPr="00911049" w:rsidRDefault="0063189A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507" w:hanging="567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Az igénybevevő tudomásul veszi, hogy amennyiben a szerződés szolgáltató általi felmondását követően ugyanazon társaságnak a székhelyeként továbbra is a szolgáltatót szeretnék megjelölni, és ennek érdekében a szerződésben szabályozott jogviszonyt folytatni kívánják, úgy ez csak ismételt szerződéskötéssel tehető meg, amelynek egyszeri ismételt szerződéskötési díját a szolgáltató jogosult az igénybevevővel szemben érvényesíteni. Az ismételt szerződéskötési díj mindenkori összegét a szolgáltató jogosult meghatározni.</w:t>
            </w:r>
          </w:p>
          <w:p w14:paraId="2D2EAB8D" w14:textId="77777777" w:rsidR="0063189A" w:rsidRDefault="0063189A" w:rsidP="0063189A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727816E9" w14:textId="77777777" w:rsidR="00BC199B" w:rsidRDefault="00BC199B" w:rsidP="0063189A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0413EEEC" w14:textId="77777777" w:rsidR="00BC199B" w:rsidRPr="00911049" w:rsidRDefault="00BC199B" w:rsidP="0063189A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0BC17408" w14:textId="77777777" w:rsidR="0063189A" w:rsidRPr="00911049" w:rsidRDefault="0063189A" w:rsidP="00F76C59">
            <w:pPr>
              <w:pStyle w:val="Listaszerbekezds"/>
              <w:numPr>
                <w:ilvl w:val="0"/>
                <w:numId w:val="2"/>
              </w:numPr>
              <w:spacing w:line="240" w:lineRule="auto"/>
              <w:ind w:hanging="420"/>
              <w:jc w:val="both"/>
              <w:rPr>
                <w:rFonts w:ascii="Garamond" w:eastAsia="Calibri" w:hAnsi="Garamond" w:cs="Times New Roman"/>
                <w:b/>
              </w:rPr>
            </w:pPr>
            <w:r w:rsidRPr="00911049">
              <w:rPr>
                <w:rFonts w:ascii="Garamond" w:eastAsia="Calibri" w:hAnsi="Garamond" w:cs="Times New Roman"/>
                <w:b/>
              </w:rPr>
              <w:lastRenderedPageBreak/>
              <w:t>Vegyes rendelkezések</w:t>
            </w:r>
          </w:p>
          <w:p w14:paraId="178D1566" w14:textId="77777777" w:rsidR="0063189A" w:rsidRPr="00911049" w:rsidRDefault="0063189A" w:rsidP="0063189A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1A7AB044" w14:textId="77777777" w:rsidR="00006C05" w:rsidRPr="00911049" w:rsidRDefault="006B4A62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Times New Roman" w:hAnsi="Garamond"/>
                <w:lang w:eastAsia="ar-SA"/>
              </w:rPr>
              <w:t xml:space="preserve">A jelen ÁSZF-fel és a szerződéssel kapcsolatos minden jognyilatkozat kizárólag írásban érvényes. A felek írásbeli közlésnek fogadják el az Ügyfél Adatlapon megadott e-mailcímre történő közlést is. </w:t>
            </w:r>
            <w:r w:rsidR="00006C05" w:rsidRPr="00911049">
              <w:rPr>
                <w:rFonts w:ascii="Garamond" w:eastAsia="Calibri" w:hAnsi="Garamond" w:cs="Times New Roman"/>
              </w:rPr>
              <w:t>A felek megállapodnak abban, hogy az egymás részére e-mail útján megküldött levelek, értesítések a küldés napján kézbesítettnek minősülnek (kézbesítési vélelem), kivéve, ha a küldő</w:t>
            </w:r>
            <w:r w:rsidR="0063189A" w:rsidRPr="00911049">
              <w:rPr>
                <w:rFonts w:ascii="Garamond" w:eastAsia="Calibri" w:hAnsi="Garamond" w:cs="Times New Roman"/>
              </w:rPr>
              <w:t xml:space="preserve"> fél a levél kézbesítéséről hibajelentést kap.</w:t>
            </w:r>
          </w:p>
          <w:p w14:paraId="6FC8DBBE" w14:textId="77777777" w:rsidR="0063189A" w:rsidRPr="00911049" w:rsidRDefault="0063189A" w:rsidP="00F76C59">
            <w:pPr>
              <w:pStyle w:val="Listaszerbekezds"/>
              <w:spacing w:line="240" w:lineRule="auto"/>
              <w:ind w:left="365" w:hanging="432"/>
              <w:jc w:val="both"/>
              <w:rPr>
                <w:rFonts w:ascii="Garamond" w:eastAsia="Calibri" w:hAnsi="Garamond" w:cs="Times New Roman"/>
              </w:rPr>
            </w:pPr>
          </w:p>
          <w:p w14:paraId="07A30D53" w14:textId="77777777" w:rsidR="0063189A" w:rsidRPr="00911049" w:rsidRDefault="0063189A" w:rsidP="00F76C59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hAnsi="Garamond"/>
              </w:rPr>
              <w:t>Az Ügyfél Adatlapon megadott adatok bármikor módosíthatók. Az adatok valódiságáért és naprakészségéért az igénybevevő felel.</w:t>
            </w:r>
          </w:p>
          <w:p w14:paraId="1542E207" w14:textId="77777777" w:rsidR="0063189A" w:rsidRPr="00911049" w:rsidRDefault="0063189A" w:rsidP="00F76C59">
            <w:pPr>
              <w:pStyle w:val="Listaszerbekezds"/>
              <w:spacing w:line="240" w:lineRule="auto"/>
              <w:ind w:left="365" w:hanging="432"/>
              <w:jc w:val="both"/>
              <w:rPr>
                <w:rFonts w:ascii="Garamond" w:eastAsia="Calibri" w:hAnsi="Garamond" w:cs="Times New Roman"/>
              </w:rPr>
            </w:pPr>
          </w:p>
          <w:p w14:paraId="41E5D4D9" w14:textId="77777777" w:rsidR="00457A67" w:rsidRPr="00911049" w:rsidRDefault="006B4A62" w:rsidP="00457A67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szerződést a felek közös megegyezéssel bármikor módosíthatják.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A szolgáltató jogosult egyoldalúan módosítani a jelen </w:t>
            </w:r>
            <w:r w:rsidR="00457A67" w:rsidRPr="00911049">
              <w:rPr>
                <w:rFonts w:ascii="Garamond" w:eastAsia="Calibri" w:hAnsi="Garamond" w:cs="Times New Roman"/>
              </w:rPr>
              <w:t>ÁSZF-et és a szerződést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oly módon, hogy a módosításról e-mailben a módosítással egyidejűleg tájékoztatja az igénybevevőt</w:t>
            </w:r>
            <w:r w:rsidR="00457A67" w:rsidRPr="00911049">
              <w:rPr>
                <w:rFonts w:ascii="Garamond" w:eastAsia="Calibri" w:hAnsi="Garamond" w:cs="Times New Roman"/>
              </w:rPr>
              <w:t>. A tájékoztatás tartalmazza</w:t>
            </w:r>
            <w:r w:rsidR="00AA18FD" w:rsidRPr="00911049">
              <w:rPr>
                <w:rFonts w:ascii="Garamond" w:eastAsia="Calibri" w:hAnsi="Garamond" w:cs="Times New Roman"/>
              </w:rPr>
              <w:t xml:space="preserve">, hogy amennyiben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az igénybevevő </w:t>
            </w:r>
            <w:r w:rsidR="00AA18FD" w:rsidRPr="00911049">
              <w:rPr>
                <w:rFonts w:ascii="Garamond" w:eastAsia="Calibri" w:hAnsi="Garamond" w:cs="Times New Roman"/>
              </w:rPr>
              <w:t xml:space="preserve">a módosításról való tudomásszerzésétől számított 15 napon belül nem szólal fel a módosítás ellen, abban az esetben az automatikusan a szerződés részévé válik. A szolgáltató a módosított részt kiemeléssel tartalmazó teljes </w:t>
            </w:r>
            <w:r w:rsidR="00457A67" w:rsidRPr="00911049">
              <w:rPr>
                <w:rFonts w:ascii="Garamond" w:eastAsia="Calibri" w:hAnsi="Garamond" w:cs="Times New Roman"/>
              </w:rPr>
              <w:t>ÁSZF-et</w:t>
            </w:r>
            <w:r w:rsidR="00AA18FD" w:rsidRPr="00911049">
              <w:rPr>
                <w:rFonts w:ascii="Garamond" w:eastAsia="Calibri" w:hAnsi="Garamond" w:cs="Times New Roman"/>
              </w:rPr>
              <w:t xml:space="preserve"> közzéteszi a honlapján.</w:t>
            </w:r>
          </w:p>
          <w:p w14:paraId="29236C6A" w14:textId="77777777" w:rsidR="00457A67" w:rsidRPr="00911049" w:rsidRDefault="00457A67" w:rsidP="00457A67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4F02E158" w14:textId="77777777" w:rsidR="00AA18FD" w:rsidRPr="00911049" w:rsidRDefault="00AA18FD" w:rsidP="00457A67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felek kötelesek </w:t>
            </w:r>
            <w:r w:rsidRPr="00911049">
              <w:rPr>
                <w:rFonts w:ascii="Garamond" w:eastAsia="Calibri" w:hAnsi="Garamond" w:cs="Times New Roman"/>
              </w:rPr>
              <w:t>a székhelyszolgáltatás során a tudomására jutott mindenfajta információt bizalmasan kezel</w:t>
            </w:r>
            <w:r w:rsidR="00457A67" w:rsidRPr="00911049">
              <w:rPr>
                <w:rFonts w:ascii="Garamond" w:eastAsia="Calibri" w:hAnsi="Garamond" w:cs="Times New Roman"/>
              </w:rPr>
              <w:t>ni. A felek kijelentik</w:t>
            </w:r>
            <w:r w:rsidRPr="00911049">
              <w:rPr>
                <w:rFonts w:ascii="Garamond" w:eastAsia="Calibri" w:hAnsi="Garamond" w:cs="Times New Roman"/>
              </w:rPr>
              <w:t>,</w:t>
            </w:r>
            <w:r w:rsidR="00457A67" w:rsidRPr="00911049">
              <w:rPr>
                <w:rFonts w:ascii="Garamond" w:eastAsia="Calibri" w:hAnsi="Garamond" w:cs="Times New Roman"/>
              </w:rPr>
              <w:t xml:space="preserve"> hogy az együttműködésük során tudomásukra jutó információkat a másik fél előzetes írásbeli hozzájárulása nélkül </w:t>
            </w:r>
            <w:r w:rsidRPr="00911049">
              <w:rPr>
                <w:rFonts w:ascii="Garamond" w:eastAsia="Calibri" w:hAnsi="Garamond" w:cs="Times New Roman"/>
              </w:rPr>
              <w:t>harmadik személynek nem adj</w:t>
            </w:r>
            <w:r w:rsidR="00457A67" w:rsidRPr="00911049">
              <w:rPr>
                <w:rFonts w:ascii="Garamond" w:eastAsia="Calibri" w:hAnsi="Garamond" w:cs="Times New Roman"/>
              </w:rPr>
              <w:t>ák át</w:t>
            </w:r>
            <w:r w:rsidRPr="00911049">
              <w:rPr>
                <w:rFonts w:ascii="Garamond" w:eastAsia="Calibri" w:hAnsi="Garamond" w:cs="Times New Roman"/>
              </w:rPr>
              <w:t>, az</w:t>
            </w:r>
            <w:r w:rsidR="00457A67" w:rsidRPr="00911049">
              <w:rPr>
                <w:rFonts w:ascii="Garamond" w:eastAsia="Calibri" w:hAnsi="Garamond" w:cs="Times New Roman"/>
              </w:rPr>
              <w:t xml:space="preserve">t </w:t>
            </w:r>
            <w:r w:rsidRPr="00911049">
              <w:rPr>
                <w:rFonts w:ascii="Garamond" w:eastAsia="Calibri" w:hAnsi="Garamond" w:cs="Times New Roman"/>
              </w:rPr>
              <w:t>saját vagy más hasznára nem használj</w:t>
            </w:r>
            <w:r w:rsidR="00457A67" w:rsidRPr="00911049">
              <w:rPr>
                <w:rFonts w:ascii="Garamond" w:eastAsia="Calibri" w:hAnsi="Garamond" w:cs="Times New Roman"/>
              </w:rPr>
              <w:t>ák</w:t>
            </w:r>
            <w:r w:rsidRPr="00911049">
              <w:rPr>
                <w:rFonts w:ascii="Garamond" w:eastAsia="Calibri" w:hAnsi="Garamond" w:cs="Times New Roman"/>
              </w:rPr>
              <w:t xml:space="preserve"> fel. A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felek </w:t>
            </w:r>
            <w:r w:rsidRPr="00911049">
              <w:rPr>
                <w:rFonts w:ascii="Garamond" w:eastAsia="Calibri" w:hAnsi="Garamond" w:cs="Times New Roman"/>
              </w:rPr>
              <w:t>tudomásul veszi</w:t>
            </w:r>
            <w:r w:rsidR="00457A67" w:rsidRPr="00911049">
              <w:rPr>
                <w:rFonts w:ascii="Garamond" w:eastAsia="Calibri" w:hAnsi="Garamond" w:cs="Times New Roman"/>
              </w:rPr>
              <w:t>k</w:t>
            </w:r>
            <w:r w:rsidRPr="00911049">
              <w:rPr>
                <w:rFonts w:ascii="Garamond" w:eastAsia="Calibri" w:hAnsi="Garamond" w:cs="Times New Roman"/>
              </w:rPr>
              <w:t>, hogy ez a titoktartási kötelezettség a székhelyszolgáltatásra irányuló megállapodás megszűnését követően is terheli</w:t>
            </w:r>
            <w:r w:rsidR="00457A67" w:rsidRPr="00911049">
              <w:rPr>
                <w:rFonts w:ascii="Garamond" w:eastAsia="Calibri" w:hAnsi="Garamond" w:cs="Times New Roman"/>
              </w:rPr>
              <w:t xml:space="preserve"> őket</w:t>
            </w:r>
            <w:r w:rsidRPr="00911049">
              <w:rPr>
                <w:rFonts w:ascii="Garamond" w:eastAsia="Calibri" w:hAnsi="Garamond" w:cs="Times New Roman"/>
              </w:rPr>
              <w:t xml:space="preserve">. </w:t>
            </w:r>
          </w:p>
          <w:p w14:paraId="3C8BC7B5" w14:textId="77777777" w:rsidR="00457A67" w:rsidRPr="00911049" w:rsidRDefault="00457A67" w:rsidP="00457A67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59794351" w14:textId="77777777" w:rsidR="00457A67" w:rsidRPr="00911049" w:rsidRDefault="00AA18FD" w:rsidP="00391013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szerződés teljesítése során a felek kötelesek egymással együttműködni és jogaik gyakorlása során jóhiszeműen eljárni. </w:t>
            </w:r>
          </w:p>
          <w:p w14:paraId="1C186F17" w14:textId="77777777" w:rsidR="00457A67" w:rsidRPr="00911049" w:rsidRDefault="00457A67" w:rsidP="00457A67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706A9813" w14:textId="77777777" w:rsidR="00457A67" w:rsidRPr="00911049" w:rsidRDefault="00AA18FD" w:rsidP="00457A67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jelen ÁSZF-ben és a </w:t>
            </w:r>
            <w:r w:rsidRPr="00911049">
              <w:rPr>
                <w:rFonts w:ascii="Garamond" w:eastAsia="Calibri" w:hAnsi="Garamond" w:cs="Times New Roman"/>
              </w:rPr>
              <w:t xml:space="preserve">szerződésben nem szabályozott kérdésekben a Ptk.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és az IM rendeletek </w:t>
            </w:r>
            <w:r w:rsidRPr="00911049">
              <w:rPr>
                <w:rFonts w:ascii="Garamond" w:eastAsia="Calibri" w:hAnsi="Garamond" w:cs="Times New Roman"/>
              </w:rPr>
              <w:t xml:space="preserve">rendelkezései </w:t>
            </w:r>
            <w:r w:rsidR="00457A67" w:rsidRPr="00911049">
              <w:rPr>
                <w:rFonts w:ascii="Garamond" w:eastAsia="Calibri" w:hAnsi="Garamond" w:cs="Times New Roman"/>
              </w:rPr>
              <w:t xml:space="preserve">az </w:t>
            </w:r>
            <w:r w:rsidRPr="00911049">
              <w:rPr>
                <w:rFonts w:ascii="Garamond" w:eastAsia="Calibri" w:hAnsi="Garamond" w:cs="Times New Roman"/>
              </w:rPr>
              <w:t>irányadók.</w:t>
            </w:r>
            <w:r w:rsidR="00457A67" w:rsidRPr="00911049">
              <w:rPr>
                <w:rFonts w:ascii="Garamond" w:eastAsia="Calibri" w:hAnsi="Garamond" w:cs="Times New Roman"/>
              </w:rPr>
              <w:t xml:space="preserve"> </w:t>
            </w:r>
          </w:p>
          <w:p w14:paraId="4458FF1F" w14:textId="77777777" w:rsidR="00457A67" w:rsidRPr="00911049" w:rsidRDefault="00457A67" w:rsidP="00457A67">
            <w:pPr>
              <w:pStyle w:val="Listaszerbekezds"/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</w:p>
          <w:p w14:paraId="25402998" w14:textId="77777777" w:rsidR="00457A67" w:rsidRPr="00911049" w:rsidRDefault="00457A67" w:rsidP="006B4A62">
            <w:pPr>
              <w:pStyle w:val="Listaszerbekezds"/>
              <w:numPr>
                <w:ilvl w:val="1"/>
                <w:numId w:val="2"/>
              </w:numPr>
              <w:spacing w:line="240" w:lineRule="auto"/>
              <w:ind w:left="365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Times New Roman" w:hAnsi="Garamond"/>
                <w:lang w:eastAsia="ar-SA"/>
              </w:rPr>
              <w:t xml:space="preserve">A jelen ÁSZF hatálya alá tartozó, és/vagy a szerződéssel bármely módon kapcsolatos esetleges jogvitáikra a felek kikötik a szolgáltató székhelye szerinti bíróságok kizárólagos illetékességét. </w:t>
            </w:r>
          </w:p>
          <w:p w14:paraId="29888430" w14:textId="77777777" w:rsidR="006B4A62" w:rsidRPr="00911049" w:rsidRDefault="006B4A62" w:rsidP="006B4A62">
            <w:pPr>
              <w:spacing w:after="12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14:paraId="7543E25A" w14:textId="77777777" w:rsidR="00AA18FD" w:rsidRPr="00911049" w:rsidRDefault="006B4A62" w:rsidP="006B4A62">
            <w:pPr>
              <w:spacing w:after="120"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>A f</w:t>
            </w:r>
            <w:r w:rsidR="00E12467" w:rsidRPr="00911049">
              <w:rPr>
                <w:rFonts w:ascii="Garamond" w:eastAsia="Calibri" w:hAnsi="Garamond" w:cs="Times New Roman"/>
              </w:rPr>
              <w:t>elek a jelen ÁSZF-et</w:t>
            </w:r>
            <w:r w:rsidRPr="00911049">
              <w:rPr>
                <w:rFonts w:ascii="Garamond" w:eastAsia="Calibri" w:hAnsi="Garamond" w:cs="Times New Roman"/>
              </w:rPr>
              <w:t>,</w:t>
            </w:r>
            <w:r w:rsidR="00E12467" w:rsidRPr="00911049">
              <w:rPr>
                <w:rFonts w:ascii="Garamond" w:eastAsia="Calibri" w:hAnsi="Garamond" w:cs="Times New Roman"/>
              </w:rPr>
              <w:t xml:space="preserve"> mint a </w:t>
            </w:r>
            <w:r w:rsidRPr="00911049">
              <w:rPr>
                <w:rFonts w:ascii="Garamond" w:eastAsia="Calibri" w:hAnsi="Garamond" w:cs="Times New Roman"/>
              </w:rPr>
              <w:t>s</w:t>
            </w:r>
            <w:r w:rsidR="00E12467" w:rsidRPr="00911049">
              <w:rPr>
                <w:rFonts w:ascii="Garamond" w:eastAsia="Calibri" w:hAnsi="Garamond" w:cs="Times New Roman"/>
              </w:rPr>
              <w:t xml:space="preserve">zerződés mellékletét a </w:t>
            </w:r>
            <w:r w:rsidRPr="00911049">
              <w:rPr>
                <w:rFonts w:ascii="Garamond" w:eastAsia="Calibri" w:hAnsi="Garamond" w:cs="Times New Roman"/>
              </w:rPr>
              <w:t>s</w:t>
            </w:r>
            <w:r w:rsidR="00E12467" w:rsidRPr="00911049">
              <w:rPr>
                <w:rFonts w:ascii="Garamond" w:eastAsia="Calibri" w:hAnsi="Garamond" w:cs="Times New Roman"/>
              </w:rPr>
              <w:t>zerződés aláírásával</w:t>
            </w:r>
            <w:r w:rsidRPr="00911049">
              <w:rPr>
                <w:rFonts w:ascii="Garamond" w:eastAsia="Calibri" w:hAnsi="Garamond" w:cs="Times New Roman"/>
              </w:rPr>
              <w:t>,</w:t>
            </w:r>
            <w:r w:rsidR="00E12467" w:rsidRPr="00911049">
              <w:rPr>
                <w:rFonts w:ascii="Garamond" w:eastAsia="Calibri" w:hAnsi="Garamond" w:cs="Times New Roman"/>
              </w:rPr>
              <w:t xml:space="preserve"> mint akaratukkal mindenben egyezőt jóváhagyólag elfogadták.</w:t>
            </w:r>
          </w:p>
          <w:p w14:paraId="484F8A62" w14:textId="77777777" w:rsidR="006B4A62" w:rsidRPr="00911049" w:rsidRDefault="006B4A62" w:rsidP="006B4A62">
            <w:pPr>
              <w:spacing w:after="12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14:paraId="2E7CBCD3" w14:textId="77777777" w:rsidR="006B4A62" w:rsidRPr="00911049" w:rsidRDefault="006B4A62" w:rsidP="006B4A62">
            <w:pPr>
              <w:spacing w:after="120" w:line="240" w:lineRule="auto"/>
              <w:jc w:val="both"/>
              <w:rPr>
                <w:rFonts w:ascii="Garamond" w:eastAsia="Calibri" w:hAnsi="Garamond" w:cs="Times New Roman"/>
              </w:rPr>
            </w:pPr>
            <w:r w:rsidRPr="00911049">
              <w:rPr>
                <w:rFonts w:ascii="Garamond" w:eastAsia="Calibri" w:hAnsi="Garamond" w:cs="Times New Roman"/>
              </w:rPr>
              <w:t xml:space="preserve">Az ÁSZF egy példányát átvettem: </w:t>
            </w:r>
          </w:p>
          <w:p w14:paraId="0264C1B9" w14:textId="77777777" w:rsidR="00932F7B" w:rsidRPr="00911049" w:rsidRDefault="00932F7B" w:rsidP="006B4A62">
            <w:pPr>
              <w:spacing w:after="12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14:paraId="6E688C3A" w14:textId="2B1EE4FF" w:rsidR="00C94434" w:rsidRPr="006B4A62" w:rsidRDefault="00C94434" w:rsidP="006B4A62">
            <w:pPr>
              <w:spacing w:after="120" w:line="240" w:lineRule="auto"/>
              <w:rPr>
                <w:rFonts w:ascii="Calibri" w:eastAsia="Calibri" w:hAnsi="Calibri" w:cs="Calibri"/>
              </w:rPr>
            </w:pPr>
            <w:permStart w:id="1799167297" w:edGrp="everyone"/>
            <w:r>
              <w:rPr>
                <w:rFonts w:ascii="Calibri" w:eastAsia="Calibri" w:hAnsi="Calibri" w:cs="Calibri"/>
              </w:rPr>
              <w:t xml:space="preserve">Csomád, </w:t>
            </w:r>
          </w:p>
          <w:permEnd w:id="1799167297"/>
          <w:p w14:paraId="3BD88BDA" w14:textId="77777777" w:rsidR="006B4A62" w:rsidRDefault="006B4A62" w:rsidP="006B4A62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D7A01A2" w14:textId="77777777" w:rsidR="006B4A62" w:rsidRPr="006B4A62" w:rsidRDefault="006B4A62" w:rsidP="006B4A62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C9DA314" w14:textId="77777777" w:rsidR="006B4A62" w:rsidRPr="006B4A62" w:rsidRDefault="006B4A62" w:rsidP="006B4A62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6B4A62">
              <w:rPr>
                <w:rFonts w:ascii="Calibri" w:eastAsia="Calibri" w:hAnsi="Calibri" w:cs="Calibri"/>
              </w:rPr>
              <w:t>____________________________________</w:t>
            </w:r>
          </w:p>
          <w:p w14:paraId="56862096" w14:textId="77777777" w:rsidR="00611779" w:rsidRDefault="00611779" w:rsidP="00611779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permStart w:id="1575573855" w:edGrp="everyone"/>
            <w:r>
              <w:rPr>
                <w:rFonts w:ascii="Calibri" w:eastAsia="Calibri" w:hAnsi="Calibri" w:cs="Calibri"/>
                <w:b/>
              </w:rPr>
              <w:t>Ügyvezető</w:t>
            </w:r>
          </w:p>
          <w:p w14:paraId="729D1107" w14:textId="77777777" w:rsidR="006B4A62" w:rsidRDefault="006B4A62" w:rsidP="006B4A6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</w:p>
          <w:p w14:paraId="0EA32106" w14:textId="79C75E95" w:rsidR="006B4A62" w:rsidRPr="006F2C86" w:rsidRDefault="006B4A62" w:rsidP="00BC19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permEnd w:id="1575573855"/>
          </w:p>
        </w:tc>
      </w:tr>
    </w:tbl>
    <w:p w14:paraId="7F5E46C9" w14:textId="77777777" w:rsidR="00637D80" w:rsidRPr="006F2C86" w:rsidRDefault="00637D80" w:rsidP="006B4A62"/>
    <w:sectPr w:rsidR="00637D80" w:rsidRPr="006F2C86" w:rsidSect="005D2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47" w:left="1418" w:header="425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02CF" w14:textId="77777777" w:rsidR="005E2F4B" w:rsidRDefault="005E2F4B" w:rsidP="003B771D">
      <w:pPr>
        <w:spacing w:after="0" w:line="240" w:lineRule="auto"/>
      </w:pPr>
      <w:r>
        <w:separator/>
      </w:r>
    </w:p>
  </w:endnote>
  <w:endnote w:type="continuationSeparator" w:id="0">
    <w:p w14:paraId="36FD82C2" w14:textId="77777777" w:rsidR="005E2F4B" w:rsidRDefault="005E2F4B" w:rsidP="003B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393F" w14:textId="77777777" w:rsidR="00BE179F" w:rsidRDefault="00BE179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F3E9" w14:textId="77777777" w:rsidR="00A86D98" w:rsidRDefault="00A86D98" w:rsidP="005D2FA2">
    <w:pPr>
      <w:pStyle w:val="llb"/>
      <w:ind w:left="-284"/>
      <w:rPr>
        <w:rFonts w:ascii="Gabriola" w:hAnsi="Gabriola"/>
        <w:b/>
        <w:sz w:val="36"/>
        <w:szCs w:val="36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2A89D8" wp14:editId="1DF71B48">
          <wp:simplePos x="0" y="0"/>
          <wp:positionH relativeFrom="column">
            <wp:posOffset>-317500</wp:posOffset>
          </wp:positionH>
          <wp:positionV relativeFrom="paragraph">
            <wp:posOffset>290195</wp:posOffset>
          </wp:positionV>
          <wp:extent cx="5410200" cy="69215"/>
          <wp:effectExtent l="0" t="0" r="0" b="6985"/>
          <wp:wrapTight wrapText="bothSides">
            <wp:wrapPolygon edited="0">
              <wp:start x="0" y="0"/>
              <wp:lineTo x="0" y="17835"/>
              <wp:lineTo x="21524" y="17835"/>
              <wp:lineTo x="21524" y="0"/>
              <wp:lineTo x="0" y="0"/>
            </wp:wrapPolygon>
          </wp:wrapTight>
          <wp:docPr id="27" name="Kép 27" descr="Cass_szekhely_logo_3_v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s_szekhely_logo_3_v2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77119" r="42055" b="20262"/>
                  <a:stretch/>
                </pic:blipFill>
                <pic:spPr bwMode="auto">
                  <a:xfrm flipV="1">
                    <a:off x="0" y="0"/>
                    <a:ext cx="5410200" cy="69215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C51094" w14:textId="77777777" w:rsidR="00A86D98" w:rsidRPr="00A9021C" w:rsidRDefault="00A86D98" w:rsidP="00CC1D82">
    <w:pPr>
      <w:pStyle w:val="llb"/>
      <w:rPr>
        <w:rFonts w:ascii="Gabriola" w:hAnsi="Gabriola"/>
        <w:b/>
        <w:sz w:val="28"/>
        <w:szCs w:val="28"/>
      </w:rPr>
    </w:pPr>
    <w:r w:rsidRPr="00A9021C">
      <w:rPr>
        <w:rFonts w:ascii="Gabriola" w:hAnsi="Gabriola"/>
        <w:b/>
        <w:noProof/>
        <w:sz w:val="28"/>
        <w:szCs w:val="28"/>
        <w:lang w:eastAsia="hu-HU"/>
      </w:rPr>
      <w:drawing>
        <wp:anchor distT="0" distB="0" distL="114300" distR="114300" simplePos="0" relativeHeight="251656192" behindDoc="0" locked="0" layoutInCell="1" allowOverlap="1" wp14:anchorId="2BDE5DB8" wp14:editId="0CBE170A">
          <wp:simplePos x="0" y="0"/>
          <wp:positionH relativeFrom="margin">
            <wp:posOffset>-5080</wp:posOffset>
          </wp:positionH>
          <wp:positionV relativeFrom="paragraph">
            <wp:posOffset>10160</wp:posOffset>
          </wp:positionV>
          <wp:extent cx="469900" cy="299085"/>
          <wp:effectExtent l="0" t="0" r="6350" b="5715"/>
          <wp:wrapSquare wrapText="bothSides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21C">
      <w:rPr>
        <w:rFonts w:ascii="Gabriola" w:hAnsi="Gabriola"/>
        <w:b/>
        <w:sz w:val="28"/>
        <w:szCs w:val="28"/>
      </w:rPr>
      <w:t>Teljeskö</w:t>
    </w:r>
    <w:r w:rsidRPr="00A9021C">
      <w:rPr>
        <w:rFonts w:ascii="Gabriola" w:hAnsi="Gabriola" w:cs="Calibri"/>
        <w:b/>
        <w:sz w:val="28"/>
        <w:szCs w:val="28"/>
      </w:rPr>
      <w:t>rű</w:t>
    </w:r>
    <w:r w:rsidRPr="00A9021C">
      <w:rPr>
        <w:rFonts w:ascii="Gabriola" w:hAnsi="Gabriola"/>
        <w:b/>
        <w:sz w:val="28"/>
        <w:szCs w:val="28"/>
      </w:rPr>
      <w:t xml:space="preserve"> c</w:t>
    </w:r>
    <w:r w:rsidRPr="00A9021C">
      <w:rPr>
        <w:rFonts w:ascii="Gabriola" w:hAnsi="Gabriola" w:cs="Gadugi"/>
        <w:b/>
        <w:sz w:val="28"/>
        <w:szCs w:val="28"/>
      </w:rPr>
      <w:t>é</w:t>
    </w:r>
    <w:r w:rsidRPr="00A9021C">
      <w:rPr>
        <w:rFonts w:ascii="Gabriola" w:hAnsi="Gabriola"/>
        <w:b/>
        <w:sz w:val="28"/>
        <w:szCs w:val="28"/>
      </w:rPr>
      <w:t>gszolg</w:t>
    </w:r>
    <w:r w:rsidRPr="00A9021C">
      <w:rPr>
        <w:rFonts w:ascii="Gabriola" w:hAnsi="Gabriola" w:cs="Gadugi"/>
        <w:b/>
        <w:sz w:val="28"/>
        <w:szCs w:val="28"/>
      </w:rPr>
      <w:t>á</w:t>
    </w:r>
    <w:r w:rsidRPr="00A9021C">
      <w:rPr>
        <w:rFonts w:ascii="Gabriola" w:hAnsi="Gabriola"/>
        <w:b/>
        <w:sz w:val="28"/>
        <w:szCs w:val="28"/>
      </w:rPr>
      <w:t xml:space="preserve">lat </w:t>
    </w:r>
    <w:r w:rsidRPr="00A9021C">
      <w:rPr>
        <w:rFonts w:ascii="Gabriola" w:hAnsi="Gabriola" w:cstheme="minorHAnsi"/>
        <w:b/>
        <w:sz w:val="28"/>
        <w:szCs w:val="28"/>
      </w:rPr>
      <w:t>Minőségi</w:t>
    </w:r>
    <w:r w:rsidRPr="00A9021C">
      <w:rPr>
        <w:rFonts w:ascii="Gabriola" w:hAnsi="Gabriola"/>
        <w:b/>
        <w:sz w:val="28"/>
        <w:szCs w:val="28"/>
      </w:rPr>
      <w:t xml:space="preserve"> c</w:t>
    </w:r>
    <w:r w:rsidRPr="00A9021C">
      <w:rPr>
        <w:rFonts w:ascii="Gabriola" w:hAnsi="Gabriola" w:cs="Gadugi"/>
        <w:b/>
        <w:sz w:val="28"/>
        <w:szCs w:val="28"/>
      </w:rPr>
      <w:t>é</w:t>
    </w:r>
    <w:r w:rsidRPr="00A9021C">
      <w:rPr>
        <w:rFonts w:ascii="Gabriola" w:hAnsi="Gabriola"/>
        <w:b/>
        <w:sz w:val="28"/>
        <w:szCs w:val="28"/>
      </w:rPr>
      <w:t>geknek</w:t>
    </w:r>
    <w:r w:rsidRPr="00CC1D82">
      <w:rPr>
        <w:rFonts w:ascii="Gabriola" w:hAnsi="Gabriola"/>
        <w:b/>
        <w:sz w:val="28"/>
        <w:szCs w:val="28"/>
      </w:rPr>
      <w:t xml:space="preserve">!                                                                  </w:t>
    </w:r>
    <w:r w:rsidRPr="00CC1D82">
      <w:rPr>
        <w:rFonts w:ascii="Gabriola" w:hAnsi="Gabriola"/>
        <w:b/>
        <w:sz w:val="28"/>
        <w:szCs w:val="28"/>
      </w:rPr>
      <w:fldChar w:fldCharType="begin"/>
    </w:r>
    <w:r w:rsidRPr="00CC1D82">
      <w:rPr>
        <w:rFonts w:ascii="Gabriola" w:hAnsi="Gabriola"/>
        <w:b/>
        <w:sz w:val="28"/>
        <w:szCs w:val="28"/>
      </w:rPr>
      <w:instrText>PAGE   \* MERGEFORMAT</w:instrText>
    </w:r>
    <w:r w:rsidRPr="00CC1D82">
      <w:rPr>
        <w:rFonts w:ascii="Gabriola" w:hAnsi="Gabriola"/>
        <w:b/>
        <w:sz w:val="28"/>
        <w:szCs w:val="28"/>
      </w:rPr>
      <w:fldChar w:fldCharType="separate"/>
    </w:r>
    <w:r w:rsidR="00C94434" w:rsidRPr="00C94434">
      <w:rPr>
        <w:rFonts w:ascii="Gabriola" w:hAnsi="Gabriola"/>
        <w:b/>
        <w:bCs/>
        <w:noProof/>
        <w:sz w:val="28"/>
        <w:szCs w:val="28"/>
      </w:rPr>
      <w:t>4</w:t>
    </w:r>
    <w:r w:rsidRPr="00CC1D82">
      <w:rPr>
        <w:rFonts w:ascii="Gabriola" w:hAnsi="Gabriola"/>
        <w:b/>
        <w:bCs/>
        <w:sz w:val="28"/>
        <w:szCs w:val="28"/>
      </w:rPr>
      <w:fldChar w:fldCharType="end"/>
    </w:r>
    <w:r w:rsidRPr="00CC1D82">
      <w:rPr>
        <w:rFonts w:ascii="Gabriola" w:hAnsi="Gabriola"/>
        <w:b/>
        <w:bCs/>
        <w:sz w:val="28"/>
        <w:szCs w:val="28"/>
      </w:rPr>
      <w:t xml:space="preserve"> </w:t>
    </w:r>
    <w:r w:rsidRPr="00CC1D82">
      <w:rPr>
        <w:rFonts w:ascii="Gabriola" w:hAnsi="Gabriola"/>
        <w:b/>
        <w:sz w:val="28"/>
        <w:szCs w:val="28"/>
      </w:rPr>
      <w:t>|</w:t>
    </w:r>
    <w:r w:rsidRPr="00CC1D82">
      <w:rPr>
        <w:rFonts w:ascii="Gabriola" w:hAnsi="Gabriola"/>
        <w:b/>
        <w:bCs/>
        <w:sz w:val="28"/>
        <w:szCs w:val="28"/>
      </w:rPr>
      <w:t xml:space="preserve"> </w:t>
    </w:r>
    <w:r w:rsidRPr="00CC1D82">
      <w:rPr>
        <w:rFonts w:ascii="Gabriola" w:hAnsi="Gabriola"/>
        <w:b/>
        <w:color w:val="7F7F7F" w:themeColor="background1" w:themeShade="7F"/>
        <w:spacing w:val="60"/>
        <w:sz w:val="28"/>
        <w:szCs w:val="28"/>
      </w:rPr>
      <w:t>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AC806" w14:textId="77777777" w:rsidR="00BE179F" w:rsidRDefault="00BE17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9B4F" w14:textId="77777777" w:rsidR="005E2F4B" w:rsidRDefault="005E2F4B" w:rsidP="003B771D">
      <w:pPr>
        <w:spacing w:after="0" w:line="240" w:lineRule="auto"/>
      </w:pPr>
      <w:r>
        <w:separator/>
      </w:r>
    </w:p>
  </w:footnote>
  <w:footnote w:type="continuationSeparator" w:id="0">
    <w:p w14:paraId="3A8426F2" w14:textId="77777777" w:rsidR="005E2F4B" w:rsidRDefault="005E2F4B" w:rsidP="003B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DBEF" w14:textId="77777777" w:rsidR="00BE179F" w:rsidRDefault="00BE17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1C40" w14:textId="77777777" w:rsidR="00A86D98" w:rsidRPr="002430E0" w:rsidRDefault="00A86D98" w:rsidP="00A9021C">
    <w:pPr>
      <w:pStyle w:val="lfej"/>
      <w:jc w:val="right"/>
      <w:rPr>
        <w:rFonts w:cstheme="minorHAnsi"/>
        <w:sz w:val="28"/>
      </w:rPr>
    </w:pPr>
    <w:r>
      <w:rPr>
        <w:rFonts w:cstheme="minorHAnsi"/>
        <w:noProof/>
        <w:sz w:val="28"/>
        <w:lang w:eastAsia="hu-HU"/>
      </w:rPr>
      <w:drawing>
        <wp:anchor distT="0" distB="0" distL="114300" distR="114300" simplePos="0" relativeHeight="251659264" behindDoc="1" locked="0" layoutInCell="1" allowOverlap="1" wp14:anchorId="37CF5159" wp14:editId="2770A7AA">
          <wp:simplePos x="0" y="0"/>
          <wp:positionH relativeFrom="column">
            <wp:posOffset>-128905</wp:posOffset>
          </wp:positionH>
          <wp:positionV relativeFrom="paragraph">
            <wp:posOffset>17780</wp:posOffset>
          </wp:positionV>
          <wp:extent cx="2830195" cy="1242060"/>
          <wp:effectExtent l="0" t="0" r="8255" b="0"/>
          <wp:wrapTight wrapText="bothSides">
            <wp:wrapPolygon edited="0">
              <wp:start x="0" y="0"/>
              <wp:lineTo x="0" y="21202"/>
              <wp:lineTo x="21518" y="21202"/>
              <wp:lineTo x="21518" y="0"/>
              <wp:lineTo x="0" y="0"/>
            </wp:wrapPolygon>
          </wp:wrapTight>
          <wp:docPr id="25" name="Kép 25" descr="Cass_szekhely_logo_3_v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ss_szekhely_logo_3_v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124206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  <w:p w14:paraId="6DCAA6FA" w14:textId="77777777" w:rsidR="00A86D98" w:rsidRPr="002430E0" w:rsidRDefault="00A86D98" w:rsidP="00A9021C">
    <w:pPr>
      <w:pStyle w:val="lfej"/>
      <w:spacing w:line="120" w:lineRule="auto"/>
      <w:jc w:val="right"/>
      <w:rPr>
        <w:rFonts w:ascii="Gabriola" w:hAnsi="Gabriola" w:cstheme="minorHAnsi"/>
        <w:b/>
        <w:sz w:val="32"/>
        <w:szCs w:val="32"/>
      </w:rPr>
    </w:pPr>
    <w:r w:rsidRPr="002430E0">
      <w:rPr>
        <w:rFonts w:ascii="Gabriola" w:hAnsi="Gabriola" w:cstheme="minorHAnsi"/>
        <w:b/>
        <w:sz w:val="32"/>
        <w:szCs w:val="32"/>
      </w:rPr>
      <w:t>Company Assistant Service Kft.</w:t>
    </w:r>
  </w:p>
  <w:p w14:paraId="1274BBF6" w14:textId="77777777" w:rsidR="00A86D98" w:rsidRPr="002430E0" w:rsidRDefault="00A86D98" w:rsidP="00A9021C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r w:rsidRPr="002430E0">
      <w:rPr>
        <w:rFonts w:ascii="Gabriola" w:hAnsi="Gabriola" w:cstheme="minorHAnsi"/>
        <w:sz w:val="28"/>
        <w:szCs w:val="28"/>
      </w:rPr>
      <w:t>2161 Csomád, Levente utca 14/a.</w:t>
    </w:r>
  </w:p>
  <w:p w14:paraId="235B78A7" w14:textId="77777777" w:rsidR="00A86D98" w:rsidRPr="002430E0" w:rsidRDefault="00A86D98" w:rsidP="00A9021C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r w:rsidRPr="002430E0">
      <w:rPr>
        <w:rFonts w:ascii="Gabriola" w:hAnsi="Gabriola" w:cstheme="minorHAnsi"/>
        <w:sz w:val="28"/>
        <w:szCs w:val="28"/>
      </w:rPr>
      <w:t>Tel: +36 70 881 4868</w:t>
    </w:r>
  </w:p>
  <w:p w14:paraId="07305F8F" w14:textId="77777777" w:rsidR="00A86D98" w:rsidRPr="002430E0" w:rsidRDefault="00A86D98" w:rsidP="00A9021C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r w:rsidRPr="002430E0">
      <w:rPr>
        <w:rFonts w:ascii="Gabriola" w:hAnsi="Gabriola" w:cstheme="minorHAnsi"/>
        <w:sz w:val="28"/>
        <w:szCs w:val="28"/>
      </w:rPr>
      <w:t>Email: info@cass.hu</w:t>
    </w:r>
  </w:p>
  <w:p w14:paraId="65CEAFF6" w14:textId="77777777" w:rsidR="00A86D98" w:rsidRPr="002430E0" w:rsidRDefault="00AB4445" w:rsidP="00A9021C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hyperlink r:id="rId2" w:history="1">
      <w:r w:rsidR="00A86D98" w:rsidRPr="003D008C">
        <w:rPr>
          <w:rStyle w:val="Hiperhivatkozs"/>
          <w:rFonts w:ascii="Gabriola" w:hAnsi="Gabriola" w:cstheme="minorHAnsi"/>
          <w:sz w:val="28"/>
          <w:szCs w:val="28"/>
        </w:rPr>
        <w:t>www.cass.hu</w:t>
      </w:r>
    </w:hyperlink>
  </w:p>
  <w:p w14:paraId="4541675A" w14:textId="77777777" w:rsidR="00A86D98" w:rsidRPr="002430E0" w:rsidRDefault="00AB4445" w:rsidP="00A9021C">
    <w:pPr>
      <w:pStyle w:val="lfej"/>
      <w:spacing w:line="120" w:lineRule="auto"/>
      <w:jc w:val="right"/>
      <w:rPr>
        <w:rFonts w:ascii="Gabriola" w:hAnsi="Gabriola" w:cstheme="minorHAnsi"/>
        <w:sz w:val="28"/>
        <w:szCs w:val="28"/>
      </w:rPr>
    </w:pPr>
    <w:hyperlink r:id="rId3" w:history="1">
      <w:r w:rsidR="00A86D98" w:rsidRPr="002430E0">
        <w:rPr>
          <w:rStyle w:val="Hiperhivatkozs"/>
          <w:rFonts w:ascii="Gabriola" w:hAnsi="Gabriola" w:cstheme="minorHAnsi"/>
          <w:sz w:val="28"/>
          <w:szCs w:val="28"/>
        </w:rPr>
        <w:t>www.ipamentes-szekhelyszolgaltatas.hu</w:t>
      </w:r>
    </w:hyperlink>
  </w:p>
  <w:p w14:paraId="7926D29D" w14:textId="77777777" w:rsidR="00A86D98" w:rsidRDefault="00A86D98">
    <w:pPr>
      <w:pStyle w:val="lfej"/>
    </w:pPr>
  </w:p>
  <w:p w14:paraId="616AD8F4" w14:textId="77777777" w:rsidR="00A86D98" w:rsidRDefault="00A86D9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27DCE08D" wp14:editId="5F9F591D">
          <wp:simplePos x="0" y="0"/>
          <wp:positionH relativeFrom="column">
            <wp:posOffset>-340995</wp:posOffset>
          </wp:positionH>
          <wp:positionV relativeFrom="paragraph">
            <wp:posOffset>149860</wp:posOffset>
          </wp:positionV>
          <wp:extent cx="5410200" cy="69215"/>
          <wp:effectExtent l="0" t="0" r="0" b="6985"/>
          <wp:wrapTight wrapText="bothSides">
            <wp:wrapPolygon edited="0">
              <wp:start x="0" y="0"/>
              <wp:lineTo x="0" y="17835"/>
              <wp:lineTo x="21524" y="17835"/>
              <wp:lineTo x="21524" y="0"/>
              <wp:lineTo x="0" y="0"/>
            </wp:wrapPolygon>
          </wp:wrapTight>
          <wp:docPr id="26" name="Kép 26" descr="Cass_szekhely_logo_3_v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s_szekhely_logo_3_v2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77119" r="42055" b="20262"/>
                  <a:stretch/>
                </pic:blipFill>
                <pic:spPr bwMode="auto">
                  <a:xfrm flipV="1">
                    <a:off x="0" y="0"/>
                    <a:ext cx="5410200" cy="69215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3DCC" w14:textId="77777777" w:rsidR="00BE179F" w:rsidRDefault="00BE17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F3F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201B9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64292F"/>
    <w:multiLevelType w:val="hybridMultilevel"/>
    <w:tmpl w:val="114AB86A"/>
    <w:lvl w:ilvl="0" w:tplc="260AD384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2616DB8"/>
    <w:multiLevelType w:val="multilevel"/>
    <w:tmpl w:val="061EF9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3C206593"/>
    <w:multiLevelType w:val="multilevel"/>
    <w:tmpl w:val="2BE07BC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57D1CF7"/>
    <w:multiLevelType w:val="multilevel"/>
    <w:tmpl w:val="CFE4E7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5825482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943BAF"/>
    <w:multiLevelType w:val="hybridMultilevel"/>
    <w:tmpl w:val="2682A7A6"/>
    <w:lvl w:ilvl="0" w:tplc="EC72535A">
      <w:start w:val="2161"/>
      <w:numFmt w:val="bullet"/>
      <w:lvlText w:val="-"/>
      <w:lvlJc w:val="left"/>
      <w:pPr>
        <w:ind w:left="725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4EE02032"/>
    <w:multiLevelType w:val="hybridMultilevel"/>
    <w:tmpl w:val="A2A627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100E0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AA3696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0C681D"/>
    <w:multiLevelType w:val="multilevel"/>
    <w:tmpl w:val="E63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GIb+9j2VX9s3DUpWSqaxToBasDYnaAMiLA0CneZbgqmX37pPKrcS/vKvEGA8XqYdR2q16Pr8kLX0Kr5H6tpEjg==" w:salt="VREcqZTA3F1uTzciNoXCA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1D"/>
    <w:rsid w:val="00006C05"/>
    <w:rsid w:val="00027134"/>
    <w:rsid w:val="00027A04"/>
    <w:rsid w:val="000315D5"/>
    <w:rsid w:val="000A460F"/>
    <w:rsid w:val="000C0A5C"/>
    <w:rsid w:val="000E7EB4"/>
    <w:rsid w:val="0013628D"/>
    <w:rsid w:val="001459D4"/>
    <w:rsid w:val="00162EFF"/>
    <w:rsid w:val="00167B0F"/>
    <w:rsid w:val="001764F6"/>
    <w:rsid w:val="001908F4"/>
    <w:rsid w:val="001A73E8"/>
    <w:rsid w:val="001B528C"/>
    <w:rsid w:val="001D10C6"/>
    <w:rsid w:val="001D7C2C"/>
    <w:rsid w:val="00201482"/>
    <w:rsid w:val="00226E6F"/>
    <w:rsid w:val="002430E0"/>
    <w:rsid w:val="002521AA"/>
    <w:rsid w:val="00263B0F"/>
    <w:rsid w:val="002A78EC"/>
    <w:rsid w:val="002E3E98"/>
    <w:rsid w:val="00322D59"/>
    <w:rsid w:val="00332B68"/>
    <w:rsid w:val="00371D70"/>
    <w:rsid w:val="00374B5E"/>
    <w:rsid w:val="00391013"/>
    <w:rsid w:val="003A01A4"/>
    <w:rsid w:val="003B7603"/>
    <w:rsid w:val="003B771D"/>
    <w:rsid w:val="003E2C5B"/>
    <w:rsid w:val="004167B2"/>
    <w:rsid w:val="0044651D"/>
    <w:rsid w:val="00457A67"/>
    <w:rsid w:val="00466F8C"/>
    <w:rsid w:val="004730F0"/>
    <w:rsid w:val="00487896"/>
    <w:rsid w:val="004A3A13"/>
    <w:rsid w:val="004A441A"/>
    <w:rsid w:val="004A5E0E"/>
    <w:rsid w:val="004C463C"/>
    <w:rsid w:val="0051308F"/>
    <w:rsid w:val="005679DF"/>
    <w:rsid w:val="00590044"/>
    <w:rsid w:val="00592F65"/>
    <w:rsid w:val="0059370A"/>
    <w:rsid w:val="005D2EBF"/>
    <w:rsid w:val="005D2FA2"/>
    <w:rsid w:val="005E2F4B"/>
    <w:rsid w:val="005E3E21"/>
    <w:rsid w:val="00606C3E"/>
    <w:rsid w:val="00606DA2"/>
    <w:rsid w:val="00611779"/>
    <w:rsid w:val="0063189A"/>
    <w:rsid w:val="00637D80"/>
    <w:rsid w:val="006467C3"/>
    <w:rsid w:val="00690BF5"/>
    <w:rsid w:val="006A50C4"/>
    <w:rsid w:val="006B4A62"/>
    <w:rsid w:val="006E7B43"/>
    <w:rsid w:val="006F2C86"/>
    <w:rsid w:val="006F60A2"/>
    <w:rsid w:val="00705F83"/>
    <w:rsid w:val="007063E7"/>
    <w:rsid w:val="00713E90"/>
    <w:rsid w:val="00724186"/>
    <w:rsid w:val="00736A40"/>
    <w:rsid w:val="00764275"/>
    <w:rsid w:val="00782A7D"/>
    <w:rsid w:val="007C2910"/>
    <w:rsid w:val="007D0032"/>
    <w:rsid w:val="008029A1"/>
    <w:rsid w:val="00820BE5"/>
    <w:rsid w:val="00875CEE"/>
    <w:rsid w:val="00877573"/>
    <w:rsid w:val="0088171C"/>
    <w:rsid w:val="00881774"/>
    <w:rsid w:val="00883F3D"/>
    <w:rsid w:val="008842E4"/>
    <w:rsid w:val="008C051C"/>
    <w:rsid w:val="008C372F"/>
    <w:rsid w:val="008D3DC2"/>
    <w:rsid w:val="008E3C7E"/>
    <w:rsid w:val="008E6FFA"/>
    <w:rsid w:val="008F0102"/>
    <w:rsid w:val="008F0B8D"/>
    <w:rsid w:val="00910D3B"/>
    <w:rsid w:val="00911049"/>
    <w:rsid w:val="00932F7B"/>
    <w:rsid w:val="00957DFD"/>
    <w:rsid w:val="00963396"/>
    <w:rsid w:val="00971619"/>
    <w:rsid w:val="0097173C"/>
    <w:rsid w:val="009772BA"/>
    <w:rsid w:val="0099561E"/>
    <w:rsid w:val="009D4108"/>
    <w:rsid w:val="00A22D61"/>
    <w:rsid w:val="00A70566"/>
    <w:rsid w:val="00A83998"/>
    <w:rsid w:val="00A86D98"/>
    <w:rsid w:val="00A9021C"/>
    <w:rsid w:val="00A92810"/>
    <w:rsid w:val="00AA18FD"/>
    <w:rsid w:val="00AB4445"/>
    <w:rsid w:val="00AC5A69"/>
    <w:rsid w:val="00B04791"/>
    <w:rsid w:val="00B07BA6"/>
    <w:rsid w:val="00B456CA"/>
    <w:rsid w:val="00B63796"/>
    <w:rsid w:val="00B81BC6"/>
    <w:rsid w:val="00B83B45"/>
    <w:rsid w:val="00B96D8E"/>
    <w:rsid w:val="00BB028C"/>
    <w:rsid w:val="00BC199B"/>
    <w:rsid w:val="00BE0A49"/>
    <w:rsid w:val="00BE179F"/>
    <w:rsid w:val="00C26B78"/>
    <w:rsid w:val="00C32D68"/>
    <w:rsid w:val="00C41D24"/>
    <w:rsid w:val="00C43ACF"/>
    <w:rsid w:val="00C5420F"/>
    <w:rsid w:val="00C551A4"/>
    <w:rsid w:val="00C60FD7"/>
    <w:rsid w:val="00C94434"/>
    <w:rsid w:val="00CC1D82"/>
    <w:rsid w:val="00CE0DB3"/>
    <w:rsid w:val="00CE49C4"/>
    <w:rsid w:val="00CF72D4"/>
    <w:rsid w:val="00D01248"/>
    <w:rsid w:val="00D27314"/>
    <w:rsid w:val="00D371FE"/>
    <w:rsid w:val="00D40701"/>
    <w:rsid w:val="00D449E4"/>
    <w:rsid w:val="00D93937"/>
    <w:rsid w:val="00DB7A0A"/>
    <w:rsid w:val="00DC183C"/>
    <w:rsid w:val="00DD47B8"/>
    <w:rsid w:val="00DF3B5B"/>
    <w:rsid w:val="00E039DE"/>
    <w:rsid w:val="00E12467"/>
    <w:rsid w:val="00E72D5B"/>
    <w:rsid w:val="00E833B9"/>
    <w:rsid w:val="00EA7DDF"/>
    <w:rsid w:val="00EF0583"/>
    <w:rsid w:val="00EF3FA2"/>
    <w:rsid w:val="00F021C8"/>
    <w:rsid w:val="00F23410"/>
    <w:rsid w:val="00F76C59"/>
    <w:rsid w:val="00FA0529"/>
    <w:rsid w:val="00FA38F2"/>
    <w:rsid w:val="00FB4BE3"/>
    <w:rsid w:val="00FB5735"/>
    <w:rsid w:val="00FC5BB4"/>
    <w:rsid w:val="00FD629B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0B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28C"/>
  </w:style>
  <w:style w:type="paragraph" w:styleId="Cmsor1">
    <w:name w:val="heading 1"/>
    <w:basedOn w:val="Norml"/>
    <w:next w:val="Norml"/>
    <w:link w:val="Cmsor1Char"/>
    <w:uiPriority w:val="9"/>
    <w:qFormat/>
    <w:rsid w:val="00371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771D"/>
  </w:style>
  <w:style w:type="paragraph" w:styleId="llb">
    <w:name w:val="footer"/>
    <w:basedOn w:val="Norml"/>
    <w:link w:val="llbChar"/>
    <w:uiPriority w:val="99"/>
    <w:unhideWhenUsed/>
    <w:rsid w:val="003B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71D"/>
  </w:style>
  <w:style w:type="character" w:styleId="Hiperhivatkozs">
    <w:name w:val="Hyperlink"/>
    <w:basedOn w:val="Bekezdsalapbettpusa"/>
    <w:uiPriority w:val="99"/>
    <w:unhideWhenUsed/>
    <w:rsid w:val="00B6379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9D4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71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371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mentes-szekhelyszolgaltatas.hu" TargetMode="External"/><Relationship Id="rId2" Type="http://schemas.openxmlformats.org/officeDocument/2006/relationships/hyperlink" Target="http://www.cas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4CF7-F6D7-4E1C-BC19-4DF88030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2695</Words>
  <Characters>18596</Characters>
  <Application>Microsoft Office Word</Application>
  <DocSecurity>8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2020-04-27T11:27:00Z</dcterms:created>
  <dcterms:modified xsi:type="dcterms:W3CDTF">2020-12-21T10:07:00Z</dcterms:modified>
</cp:coreProperties>
</file>